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89DB" w14:textId="77777777" w:rsidR="00757E34" w:rsidRDefault="00757E34">
      <w:pPr>
        <w:rPr>
          <w:rFonts w:ascii="黑体" w:eastAsia="黑体" w:hAnsi="黑体" w:hint="eastAsia"/>
          <w:sz w:val="32"/>
          <w:szCs w:val="32"/>
        </w:rPr>
      </w:pPr>
    </w:p>
    <w:p w14:paraId="76816D53" w14:textId="77777777" w:rsidR="00757E34" w:rsidRDefault="00757E34">
      <w:pPr>
        <w:jc w:val="center"/>
        <w:rPr>
          <w:rFonts w:ascii="方正小标宋_GBK" w:eastAsia="方正小标宋_GBK" w:hAnsi="宋体" w:hint="eastAsia"/>
          <w:sz w:val="44"/>
          <w:szCs w:val="44"/>
        </w:rPr>
      </w:pPr>
    </w:p>
    <w:p w14:paraId="5E4BF00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中共木垒哈萨克自治县委员会老干部局</w:t>
      </w:r>
    </w:p>
    <w:p w14:paraId="22442585" w14:textId="77777777" w:rsidR="00757E34" w:rsidRDefault="00F14C01">
      <w:pPr>
        <w:jc w:val="center"/>
        <w:rPr>
          <w:rFonts w:ascii="方正小标宋_GBK" w:eastAsia="方正小标宋_GBK" w:hAnsi="宋体" w:hint="eastAsia"/>
          <w:sz w:val="44"/>
          <w:szCs w:val="44"/>
        </w:rPr>
      </w:pPr>
      <w:r>
        <w:rPr>
          <w:rFonts w:ascii="方正小标宋_GBK" w:eastAsia="方正小标宋_GBK" w:hAnsi="宋体"/>
          <w:sz w:val="44"/>
          <w:szCs w:val="44"/>
        </w:rPr>
        <w:t xml:space="preserve"> </w:t>
      </w:r>
      <w:r w:rsidR="000B28DB">
        <w:rPr>
          <w:rFonts w:ascii="方正小标宋_GBK" w:eastAsia="方正小标宋_GBK" w:hAnsi="宋体" w:hint="eastAsia"/>
          <w:sz w:val="44"/>
          <w:szCs w:val="44"/>
        </w:rPr>
        <w:t>2023年度部门决算</w:t>
      </w:r>
    </w:p>
    <w:p w14:paraId="2B60252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27E07BC" w14:textId="77777777" w:rsidR="00757E34" w:rsidRDefault="000B28D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7FB8479" w14:textId="77777777" w:rsidR="00757E34" w:rsidRDefault="000B28D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15F33E" w14:textId="77777777" w:rsidR="00757E34" w:rsidRDefault="000B28D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02170D5"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0B28DB">
          <w:rPr>
            <w:rFonts w:ascii="仿宋_GB2312" w:eastAsia="仿宋_GB2312" w:hAnsi="仿宋_GB2312" w:cs="仿宋_GB2312" w:hint="eastAsia"/>
            <w:bCs/>
            <w:kern w:val="0"/>
            <w:sz w:val="32"/>
            <w:szCs w:val="32"/>
          </w:rPr>
          <w:t>一、主要职能</w:t>
        </w:r>
      </w:hyperlink>
    </w:p>
    <w:p w14:paraId="2DF27705"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0B28DB">
          <w:rPr>
            <w:rFonts w:ascii="仿宋_GB2312" w:eastAsia="仿宋_GB2312" w:hAnsi="仿宋_GB2312" w:cs="仿宋_GB2312" w:hint="eastAsia"/>
            <w:bCs/>
            <w:kern w:val="0"/>
            <w:sz w:val="32"/>
            <w:szCs w:val="32"/>
          </w:rPr>
          <w:t>二、机构设置及人员情况</w:t>
        </w:r>
      </w:hyperlink>
    </w:p>
    <w:p w14:paraId="49CCB3E9" w14:textId="77777777" w:rsidR="00757E3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0B28DB">
          <w:rPr>
            <w:rFonts w:ascii="仿宋_GB2312" w:eastAsia="仿宋_GB2312" w:hAnsi="仿宋_GB2312" w:cs="仿宋_GB2312" w:hint="eastAsia"/>
            <w:b/>
            <w:bCs/>
            <w:sz w:val="32"/>
            <w:szCs w:val="32"/>
          </w:rPr>
          <w:t>第二部分 部门决算情况说明</w:t>
        </w:r>
      </w:hyperlink>
    </w:p>
    <w:p w14:paraId="4D1EDB38"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0B28DB">
          <w:rPr>
            <w:rFonts w:ascii="仿宋_GB2312" w:eastAsia="仿宋_GB2312" w:hAnsi="仿宋_GB2312" w:cs="仿宋_GB2312" w:hint="eastAsia"/>
            <w:bCs/>
            <w:kern w:val="0"/>
            <w:sz w:val="32"/>
            <w:szCs w:val="32"/>
          </w:rPr>
          <w:t>一、收入支出决算总体情况说明</w:t>
        </w:r>
      </w:hyperlink>
    </w:p>
    <w:p w14:paraId="33CCCA90"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0B28DB">
          <w:rPr>
            <w:rFonts w:ascii="仿宋_GB2312" w:eastAsia="仿宋_GB2312" w:hAnsi="仿宋_GB2312" w:cs="仿宋_GB2312" w:hint="eastAsia"/>
            <w:bCs/>
            <w:kern w:val="0"/>
            <w:sz w:val="32"/>
            <w:szCs w:val="32"/>
          </w:rPr>
          <w:t>二、收入决算情况说明</w:t>
        </w:r>
      </w:hyperlink>
    </w:p>
    <w:p w14:paraId="5283BA46"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0B28DB">
          <w:rPr>
            <w:rFonts w:ascii="仿宋_GB2312" w:eastAsia="仿宋_GB2312" w:hAnsi="仿宋_GB2312" w:cs="仿宋_GB2312" w:hint="eastAsia"/>
            <w:bCs/>
            <w:kern w:val="0"/>
            <w:sz w:val="32"/>
            <w:szCs w:val="32"/>
          </w:rPr>
          <w:t>三、支出决算情况说明</w:t>
        </w:r>
      </w:hyperlink>
    </w:p>
    <w:p w14:paraId="228DDF9B"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0B28DB">
          <w:rPr>
            <w:rFonts w:ascii="仿宋_GB2312" w:eastAsia="仿宋_GB2312" w:hAnsi="仿宋_GB2312" w:cs="仿宋_GB2312" w:hint="eastAsia"/>
            <w:bCs/>
            <w:kern w:val="0"/>
            <w:sz w:val="32"/>
            <w:szCs w:val="32"/>
          </w:rPr>
          <w:t>四、财政拨款收入支出决算总体情况说明</w:t>
        </w:r>
      </w:hyperlink>
    </w:p>
    <w:p w14:paraId="37C7FE6C"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0B28DB">
          <w:rPr>
            <w:rFonts w:ascii="仿宋_GB2312" w:eastAsia="仿宋_GB2312" w:hAnsi="仿宋_GB2312" w:cs="仿宋_GB2312" w:hint="eastAsia"/>
            <w:bCs/>
            <w:kern w:val="0"/>
            <w:sz w:val="32"/>
            <w:szCs w:val="32"/>
          </w:rPr>
          <w:t>五、一般公共预算财政拨款支出决算情况说明</w:t>
        </w:r>
      </w:hyperlink>
    </w:p>
    <w:p w14:paraId="0E784928"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0B28DB">
          <w:rPr>
            <w:rFonts w:ascii="仿宋_GB2312" w:eastAsia="仿宋_GB2312" w:hAnsi="仿宋_GB2312" w:cs="仿宋_GB2312" w:hint="eastAsia"/>
            <w:bCs/>
            <w:kern w:val="0"/>
            <w:sz w:val="32"/>
            <w:szCs w:val="32"/>
          </w:rPr>
          <w:t>六、一般公共预算财政拨款基本支出决算情况说明</w:t>
        </w:r>
      </w:hyperlink>
    </w:p>
    <w:p w14:paraId="379B47CB"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0B28DB">
          <w:rPr>
            <w:rFonts w:ascii="仿宋_GB2312" w:eastAsia="仿宋_GB2312" w:hAnsi="仿宋_GB2312" w:cs="仿宋_GB2312" w:hint="eastAsia"/>
            <w:bCs/>
            <w:kern w:val="0"/>
            <w:sz w:val="32"/>
            <w:szCs w:val="32"/>
          </w:rPr>
          <w:t>七、财政拨款“三公”经费支出决算情况说明</w:t>
        </w:r>
      </w:hyperlink>
    </w:p>
    <w:p w14:paraId="5B1DFC6E"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0B28DB">
          <w:rPr>
            <w:rFonts w:ascii="仿宋_GB2312" w:eastAsia="仿宋_GB2312" w:hAnsi="仿宋_GB2312" w:cs="仿宋_GB2312" w:hint="eastAsia"/>
            <w:bCs/>
            <w:kern w:val="0"/>
            <w:sz w:val="32"/>
            <w:szCs w:val="32"/>
          </w:rPr>
          <w:t>八、政府性基金预算财政拨款收入支出决算情况说明</w:t>
        </w:r>
      </w:hyperlink>
    </w:p>
    <w:p w14:paraId="2869DEF4" w14:textId="77777777" w:rsidR="00757E34" w:rsidRDefault="00000000">
      <w:hyperlink w:anchor="_Toc5810" w:history="1">
        <w:r w:rsidR="000B28DB">
          <w:rPr>
            <w:rFonts w:ascii="仿宋_GB2312" w:eastAsia="仿宋_GB2312" w:hAnsi="仿宋_GB2312" w:cs="仿宋_GB2312" w:hint="eastAsia"/>
            <w:bCs/>
            <w:kern w:val="0"/>
            <w:sz w:val="32"/>
            <w:szCs w:val="32"/>
          </w:rPr>
          <w:t>九、国有资本经营预算财政拨款收入支出决算情况说明</w:t>
        </w:r>
      </w:hyperlink>
    </w:p>
    <w:p w14:paraId="009B0C10"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0B28DB">
          <w:rPr>
            <w:rFonts w:ascii="仿宋_GB2312" w:eastAsia="仿宋_GB2312" w:hAnsi="仿宋_GB2312" w:cs="仿宋_GB2312" w:hint="eastAsia"/>
            <w:sz w:val="32"/>
            <w:szCs w:val="32"/>
          </w:rPr>
          <w:t>十</w:t>
        </w:r>
        <w:r w:rsidR="000B28DB">
          <w:rPr>
            <w:rFonts w:ascii="仿宋_GB2312" w:eastAsia="仿宋_GB2312" w:hAnsi="仿宋_GB2312" w:cs="仿宋_GB2312" w:hint="eastAsia"/>
            <w:bCs/>
            <w:kern w:val="0"/>
            <w:sz w:val="32"/>
            <w:szCs w:val="32"/>
          </w:rPr>
          <w:t>、其他重要事项的情况说明</w:t>
        </w:r>
      </w:hyperlink>
    </w:p>
    <w:p w14:paraId="572A77FC" w14:textId="77777777" w:rsidR="00757E3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0B28DB">
          <w:rPr>
            <w:rFonts w:ascii="仿宋_GB2312" w:eastAsia="仿宋_GB2312" w:hAnsi="仿宋_GB2312" w:cs="仿宋_GB2312" w:hint="eastAsia"/>
            <w:sz w:val="32"/>
            <w:szCs w:val="32"/>
          </w:rPr>
          <w:t>（一）机关运行经费支出情况</w:t>
        </w:r>
      </w:hyperlink>
    </w:p>
    <w:p w14:paraId="1349E4E7" w14:textId="77777777" w:rsidR="00757E3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0B28DB">
          <w:rPr>
            <w:rFonts w:ascii="仿宋_GB2312" w:eastAsia="仿宋_GB2312" w:hAnsi="仿宋_GB2312" w:cs="仿宋_GB2312" w:hint="eastAsia"/>
            <w:sz w:val="32"/>
            <w:szCs w:val="32"/>
          </w:rPr>
          <w:t>（二）政府采购情况</w:t>
        </w:r>
      </w:hyperlink>
    </w:p>
    <w:p w14:paraId="14DF3582" w14:textId="77777777" w:rsidR="00757E3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0B28DB">
          <w:rPr>
            <w:rFonts w:ascii="仿宋_GB2312" w:eastAsia="仿宋_GB2312" w:hAnsi="仿宋_GB2312" w:cs="仿宋_GB2312" w:hint="eastAsia"/>
            <w:sz w:val="32"/>
            <w:szCs w:val="32"/>
          </w:rPr>
          <w:t>（三）国有资产占用情况说明</w:t>
        </w:r>
      </w:hyperlink>
    </w:p>
    <w:p w14:paraId="5214698F"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0B28DB">
          <w:rPr>
            <w:rFonts w:ascii="仿宋_GB2312" w:eastAsia="仿宋_GB2312" w:hAnsi="仿宋_GB2312" w:cs="仿宋_GB2312" w:hint="eastAsia"/>
            <w:bCs/>
            <w:kern w:val="0"/>
            <w:sz w:val="32"/>
            <w:szCs w:val="32"/>
          </w:rPr>
          <w:t>十一、预算绩效的情况说明</w:t>
        </w:r>
      </w:hyperlink>
    </w:p>
    <w:p w14:paraId="742268AA"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7163A2A" w14:textId="77777777" w:rsidR="00757E34" w:rsidRDefault="00000000">
      <w:pPr>
        <w:pStyle w:val="TOC1"/>
        <w:tabs>
          <w:tab w:val="right" w:pos="8306"/>
        </w:tabs>
        <w:rPr>
          <w:rFonts w:ascii="仿宋_GB2312" w:eastAsia="仿宋_GB2312" w:hAnsi="仿宋_GB2312" w:cs="仿宋_GB2312" w:hint="eastAsia"/>
          <w:b/>
          <w:bCs/>
          <w:sz w:val="32"/>
          <w:szCs w:val="32"/>
        </w:rPr>
      </w:pPr>
      <w:hyperlink w:anchor="_Toc3250" w:history="1">
        <w:r w:rsidR="000B28DB">
          <w:rPr>
            <w:rFonts w:ascii="仿宋_GB2312" w:eastAsia="仿宋_GB2312" w:hAnsi="仿宋_GB2312" w:cs="仿宋_GB2312" w:hint="eastAsia"/>
            <w:b/>
            <w:bCs/>
            <w:sz w:val="32"/>
            <w:szCs w:val="32"/>
          </w:rPr>
          <w:t>第三部分 专业名词解释</w:t>
        </w:r>
      </w:hyperlink>
    </w:p>
    <w:p w14:paraId="5AC25990" w14:textId="77777777" w:rsidR="00757E3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0B28DB">
          <w:rPr>
            <w:rFonts w:ascii="仿宋_GB2312" w:eastAsia="仿宋_GB2312" w:hAnsi="仿宋_GB2312" w:cs="仿宋_GB2312" w:hint="eastAsia"/>
            <w:b/>
            <w:bCs/>
            <w:sz w:val="32"/>
            <w:szCs w:val="32"/>
          </w:rPr>
          <w:t>第四部分 部门决算报表（见附表）</w:t>
        </w:r>
      </w:hyperlink>
    </w:p>
    <w:p w14:paraId="6CF2D043"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0B28DB">
          <w:rPr>
            <w:rFonts w:ascii="仿宋_GB2312" w:eastAsia="仿宋_GB2312" w:hAnsi="仿宋_GB2312" w:cs="仿宋_GB2312" w:hint="eastAsia"/>
            <w:bCs/>
            <w:kern w:val="0"/>
            <w:sz w:val="32"/>
            <w:szCs w:val="32"/>
          </w:rPr>
          <w:t>一、《收入支出决算总表》</w:t>
        </w:r>
      </w:hyperlink>
    </w:p>
    <w:p w14:paraId="3A2C8A35"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0B28DB">
          <w:rPr>
            <w:rFonts w:ascii="仿宋_GB2312" w:eastAsia="仿宋_GB2312" w:hAnsi="仿宋_GB2312" w:cs="仿宋_GB2312" w:hint="eastAsia"/>
            <w:bCs/>
            <w:kern w:val="0"/>
            <w:sz w:val="32"/>
            <w:szCs w:val="32"/>
          </w:rPr>
          <w:t>二、《收入决算表》</w:t>
        </w:r>
      </w:hyperlink>
    </w:p>
    <w:p w14:paraId="59BEF46F"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0B28DB">
          <w:rPr>
            <w:rFonts w:ascii="仿宋_GB2312" w:eastAsia="仿宋_GB2312" w:hAnsi="仿宋_GB2312" w:cs="仿宋_GB2312" w:hint="eastAsia"/>
            <w:bCs/>
            <w:kern w:val="0"/>
            <w:sz w:val="32"/>
            <w:szCs w:val="32"/>
          </w:rPr>
          <w:t>三、《支出决算表》</w:t>
        </w:r>
      </w:hyperlink>
    </w:p>
    <w:p w14:paraId="0DB436B8"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0B28DB">
          <w:rPr>
            <w:rFonts w:ascii="仿宋_GB2312" w:eastAsia="仿宋_GB2312" w:hAnsi="仿宋_GB2312" w:cs="仿宋_GB2312" w:hint="eastAsia"/>
            <w:bCs/>
            <w:kern w:val="0"/>
            <w:sz w:val="32"/>
            <w:szCs w:val="32"/>
          </w:rPr>
          <w:t>四、《财政拨款收入支出决算总表》</w:t>
        </w:r>
      </w:hyperlink>
    </w:p>
    <w:p w14:paraId="55A3F600"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0B28DB">
          <w:rPr>
            <w:rFonts w:ascii="仿宋_GB2312" w:eastAsia="仿宋_GB2312" w:hAnsi="仿宋_GB2312" w:cs="仿宋_GB2312" w:hint="eastAsia"/>
            <w:bCs/>
            <w:kern w:val="0"/>
            <w:sz w:val="32"/>
            <w:szCs w:val="32"/>
          </w:rPr>
          <w:t>五、《一般公共预算财政拨款支出决算表》</w:t>
        </w:r>
      </w:hyperlink>
    </w:p>
    <w:p w14:paraId="0E2150F2"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0B28DB">
          <w:rPr>
            <w:rFonts w:ascii="仿宋_GB2312" w:eastAsia="仿宋_GB2312" w:hAnsi="仿宋_GB2312" w:cs="仿宋_GB2312" w:hint="eastAsia"/>
            <w:bCs/>
            <w:kern w:val="0"/>
            <w:sz w:val="32"/>
            <w:szCs w:val="32"/>
          </w:rPr>
          <w:t>六、《一般公共预算财政拨款基本支出决算表》</w:t>
        </w:r>
      </w:hyperlink>
    </w:p>
    <w:p w14:paraId="2F2AF974"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0B28DB">
          <w:rPr>
            <w:rFonts w:ascii="仿宋_GB2312" w:eastAsia="仿宋_GB2312" w:hAnsi="仿宋_GB2312" w:cs="仿宋_GB2312" w:hint="eastAsia"/>
            <w:bCs/>
            <w:kern w:val="0"/>
            <w:sz w:val="32"/>
            <w:szCs w:val="32"/>
          </w:rPr>
          <w:t>七、《财政拨款“三公”经费支出决算表》</w:t>
        </w:r>
      </w:hyperlink>
    </w:p>
    <w:p w14:paraId="1EB0B10F" w14:textId="77777777" w:rsidR="00757E3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0B28DB">
          <w:rPr>
            <w:rFonts w:ascii="仿宋_GB2312" w:eastAsia="仿宋_GB2312" w:hAnsi="仿宋_GB2312" w:cs="仿宋_GB2312" w:hint="eastAsia"/>
            <w:bCs/>
            <w:kern w:val="0"/>
            <w:sz w:val="32"/>
            <w:szCs w:val="32"/>
          </w:rPr>
          <w:t>八、《政府性基金预算财政拨款收入支出决算表》</w:t>
        </w:r>
      </w:hyperlink>
    </w:p>
    <w:p w14:paraId="7B853EB9" w14:textId="77777777" w:rsidR="00757E34" w:rsidRDefault="000B28D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1C43AD7" w14:textId="77777777" w:rsidR="00757E34" w:rsidRDefault="000B28DB">
      <w:r>
        <w:rPr>
          <w:rFonts w:ascii="仿宋_GB2312" w:eastAsia="仿宋_GB2312" w:hAnsi="仿宋_GB2312" w:cs="仿宋_GB2312" w:hint="eastAsia"/>
          <w:sz w:val="32"/>
          <w:szCs w:val="32"/>
        </w:rPr>
        <w:fldChar w:fldCharType="end"/>
      </w:r>
    </w:p>
    <w:p w14:paraId="201218DB" w14:textId="77777777" w:rsidR="00757E34" w:rsidRDefault="000B28DB">
      <w:pPr>
        <w:rPr>
          <w:rFonts w:ascii="仿宋_GB2312" w:eastAsia="仿宋_GB2312"/>
          <w:sz w:val="32"/>
          <w:szCs w:val="32"/>
        </w:rPr>
      </w:pPr>
      <w:r>
        <w:rPr>
          <w:rFonts w:ascii="仿宋_GB2312" w:eastAsia="仿宋_GB2312" w:hint="eastAsia"/>
          <w:sz w:val="32"/>
          <w:szCs w:val="32"/>
        </w:rPr>
        <w:br w:type="page"/>
      </w:r>
    </w:p>
    <w:p w14:paraId="71505FB9" w14:textId="77777777" w:rsidR="00757E34" w:rsidRDefault="000B28D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3753811" w14:textId="77777777" w:rsidR="00757E34" w:rsidRDefault="000B28D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2F4A165"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（1）贯彻落实党中央、国务院关于离退休干部工作的方针、政策；了解掌握自治县老干部工作的基本情况；及时向县委反映主要问题和提出建议，参与制订自治县老干部工作的政策、规定。</w:t>
      </w:r>
    </w:p>
    <w:p w14:paraId="6DE06286"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（2）协助党委和组织部门抓好老干部党组织建设和政治思想工作；组织指导老干部政治学习，阅读文件，听重要报告，参加有关会议和重要政治活动。</w:t>
      </w:r>
    </w:p>
    <w:p w14:paraId="5430AFC8"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（3）调查研究离退休干部的离退休费，医疗、住房、取暖等方面存在的问题；督促检查老干部政治、生活待遇的落实。</w:t>
      </w:r>
    </w:p>
    <w:p w14:paraId="6AD4644B"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（4）组织引导老干部在社会主义物质文明和精神文明建设中发挥作用；总结推广老干部发挥作用的先进事迹和经 验；协助解决老干部发挥作用中出现的问题。</w:t>
      </w:r>
    </w:p>
    <w:p w14:paraId="71188CE0"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（5）负责对全县行政事业单位离退休人员人数和离退休费标准及数额进行审核；负责全县企业离休干部护理费、交通费、冬炭费等费用的发放以及无工作的离休干部遗孀生 活补助费、医药费、取暖费的发放工作。</w:t>
      </w:r>
    </w:p>
    <w:p w14:paraId="55E1627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（6）负责全县离退休干部和党政机关、事业单位退休干部管理工作。</w:t>
      </w:r>
    </w:p>
    <w:p w14:paraId="428C2BA7"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（7）负责老干部来信来访工作。</w:t>
      </w:r>
    </w:p>
    <w:p w14:paraId="16738222"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lastRenderedPageBreak/>
        <w:t>（8）指导全县老干部活动场所建设；组织协调指导全县老干部开展大型文体活动；组织全县离退休干部开展形式多样丰富多彩的文体娱乐活动；组织离退休干部赴区内外健康疗养，参观工农业生产。</w:t>
      </w:r>
    </w:p>
    <w:p w14:paraId="68540B5F"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（9）负责全县离退休干部的住院看望；协助县委组织安排重大节日县四套班子领导走访慰问老干部及离休干部遗孀。</w:t>
      </w:r>
    </w:p>
    <w:p w14:paraId="7B451E1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（10）协调各新闻宣传部门，采取多种形式宣传老干部工作方针、政策，宣传老干部的历史功绩和现实作用，宣传 老干部工作的经验。</w:t>
      </w:r>
    </w:p>
    <w:p w14:paraId="25A1403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（11）指导做好老干部的管理服务和各类活动的开展工作；指导协调自治县关心下一代工作委员会办公室工作，指 导协调老干部各协会开展工作。</w:t>
      </w:r>
    </w:p>
    <w:p w14:paraId="362A27D2" w14:textId="77777777" w:rsidR="00757E34"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（12</w:t>
      </w:r>
      <w:r>
        <w:rPr>
          <w:rFonts w:ascii="仿宋_GB2312" w:eastAsia="仿宋_GB2312" w:hint="eastAsia"/>
          <w:sz w:val="32"/>
          <w:szCs w:val="32"/>
        </w:rPr>
        <w:t>）完成上级交办的其他工作</w:t>
      </w:r>
      <w:r w:rsidR="000B28DB">
        <w:rPr>
          <w:rFonts w:ascii="仿宋_GB2312" w:eastAsia="仿宋_GB2312" w:hint="eastAsia"/>
          <w:sz w:val="32"/>
          <w:szCs w:val="32"/>
        </w:rPr>
        <w:t>。</w:t>
      </w:r>
    </w:p>
    <w:p w14:paraId="0A467DF5" w14:textId="77777777" w:rsidR="00757E34" w:rsidRDefault="000B28D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D5ACB3D" w14:textId="77777777" w:rsidR="00757E34" w:rsidRDefault="000B28DB">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中共木垒哈萨克自治县委员会老干部局2023年度，实有人数</w:t>
      </w:r>
      <w:r>
        <w:rPr>
          <w:rFonts w:ascii="仿宋_GB2312" w:eastAsia="仿宋_GB2312" w:hint="eastAsia"/>
          <w:sz w:val="32"/>
          <w:szCs w:val="32"/>
          <w:lang w:val="zh-CN"/>
        </w:rPr>
        <w:t>17</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F33B595" w14:textId="77777777" w:rsidR="00757E34" w:rsidRDefault="000B28DB">
      <w:pPr>
        <w:ind w:firstLineChars="200" w:firstLine="640"/>
        <w:rPr>
          <w:rFonts w:ascii="仿宋_GB2312" w:eastAsia="仿宋_GB2312" w:hAnsi="宋体" w:cs="宋体" w:hint="eastAsia"/>
          <w:kern w:val="0"/>
          <w:sz w:val="32"/>
          <w:szCs w:val="32"/>
        </w:rPr>
        <w:sectPr w:rsidR="00757E3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63FE3">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C63FE3">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6DC9E779" w14:textId="77777777" w:rsidR="00757E34" w:rsidRDefault="000B28D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5C1FEB2" w14:textId="77777777" w:rsidR="00757E34" w:rsidRDefault="000B28D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E54E8A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2023年度收入总计242.48万元，其中：本年收入合计242.48万元，使用非财政拨款结余0.00万元，年初结转和结余0.00万元。</w:t>
      </w:r>
    </w:p>
    <w:p w14:paraId="0A6F11F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2023年度支出总计242.48万元，其中：本年支出合计242.48万元，结余分配0.00万元，年末结转和结余0.00万元。</w:t>
      </w:r>
    </w:p>
    <w:p w14:paraId="6211C1EB"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增加66.80万元</w:t>
      </w:r>
      <w:r>
        <w:rPr>
          <w:rFonts w:ascii="仿宋_GB2312" w:eastAsia="仿宋_GB2312" w:hint="eastAsia"/>
          <w:sz w:val="32"/>
          <w:szCs w:val="32"/>
        </w:rPr>
        <w:t>，增长38.02%，主要原因是：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w:t>
      </w:r>
    </w:p>
    <w:p w14:paraId="5E49384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9FFCDF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本年收入242.48万元，其中：财政拨款收入</w:t>
      </w:r>
      <w:r>
        <w:rPr>
          <w:rFonts w:ascii="仿宋_GB2312" w:eastAsia="仿宋_GB2312" w:hint="eastAsia"/>
          <w:sz w:val="32"/>
          <w:szCs w:val="32"/>
          <w:lang w:val="zh-CN"/>
        </w:rPr>
        <w:t>240.37</w:t>
      </w:r>
      <w:r>
        <w:rPr>
          <w:rFonts w:ascii="仿宋_GB2312" w:eastAsia="仿宋_GB2312" w:hint="eastAsia"/>
          <w:sz w:val="32"/>
          <w:szCs w:val="32"/>
        </w:rPr>
        <w:t>万元，占</w:t>
      </w:r>
      <w:r>
        <w:rPr>
          <w:rFonts w:ascii="仿宋_GB2312" w:eastAsia="仿宋_GB2312" w:hint="eastAsia"/>
          <w:sz w:val="32"/>
          <w:szCs w:val="32"/>
          <w:lang w:val="zh-CN"/>
        </w:rPr>
        <w:t>99.13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2.11</w:t>
      </w:r>
      <w:r>
        <w:rPr>
          <w:rFonts w:ascii="仿宋_GB2312" w:eastAsia="仿宋_GB2312" w:hint="eastAsia"/>
          <w:sz w:val="32"/>
          <w:szCs w:val="32"/>
        </w:rPr>
        <w:t>万元，占</w:t>
      </w:r>
      <w:r>
        <w:rPr>
          <w:rFonts w:ascii="仿宋_GB2312" w:eastAsia="仿宋_GB2312" w:hint="eastAsia"/>
          <w:sz w:val="32"/>
          <w:szCs w:val="32"/>
          <w:lang w:val="zh-CN"/>
        </w:rPr>
        <w:t>0.87</w:t>
      </w:r>
      <w:r>
        <w:rPr>
          <w:rFonts w:ascii="仿宋_GB2312" w:eastAsia="仿宋_GB2312" w:hint="eastAsia"/>
          <w:sz w:val="32"/>
          <w:szCs w:val="32"/>
        </w:rPr>
        <w:t>%。</w:t>
      </w:r>
    </w:p>
    <w:p w14:paraId="258D20A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2294DD4" w14:textId="77777777" w:rsidR="00757E34" w:rsidRPr="00C63FE3" w:rsidRDefault="000B28DB">
      <w:pPr>
        <w:ind w:firstLineChars="200" w:firstLine="640"/>
        <w:jc w:val="left"/>
        <w:rPr>
          <w:rFonts w:ascii="仿宋_GB2312" w:eastAsia="仿宋_GB2312"/>
          <w:sz w:val="32"/>
          <w:szCs w:val="32"/>
        </w:rPr>
      </w:pPr>
      <w:r w:rsidRPr="00C63FE3">
        <w:rPr>
          <w:rFonts w:ascii="仿宋_GB2312" w:eastAsia="仿宋_GB2312" w:hint="eastAsia"/>
          <w:sz w:val="32"/>
          <w:szCs w:val="32"/>
        </w:rPr>
        <w:t>本年支出242.48万元，其中：基本支出237.48万元，占97.94%；项目支出5.00万元，占2.06%；上缴上级支出0.00万元，占0.00%；经营支出0.00万元，占0.00%；对附属单位补助支出0.00万元，占0.00%。</w:t>
      </w:r>
    </w:p>
    <w:p w14:paraId="759B7E3A" w14:textId="77777777" w:rsidR="00757E34" w:rsidRDefault="000B28D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9466A75"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240.37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240.37</w:t>
      </w:r>
      <w:r>
        <w:rPr>
          <w:rFonts w:ascii="仿宋_GB2312" w:eastAsia="仿宋_GB2312" w:hint="eastAsia"/>
          <w:sz w:val="32"/>
          <w:szCs w:val="32"/>
        </w:rPr>
        <w:t>万元。财政拨款支出总计</w:t>
      </w:r>
      <w:r>
        <w:rPr>
          <w:rFonts w:ascii="仿宋_GB2312" w:eastAsia="仿宋_GB2312" w:hint="eastAsia"/>
          <w:sz w:val="32"/>
          <w:szCs w:val="32"/>
          <w:lang w:val="zh-CN"/>
        </w:rPr>
        <w:t>240.37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240.37</w:t>
      </w:r>
      <w:r>
        <w:rPr>
          <w:rFonts w:ascii="仿宋_GB2312" w:eastAsia="仿宋_GB2312" w:hint="eastAsia"/>
          <w:sz w:val="32"/>
          <w:szCs w:val="32"/>
        </w:rPr>
        <w:t>万元。</w:t>
      </w:r>
    </w:p>
    <w:p w14:paraId="4D6F0037"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万元，预决算差异率-15.54%，主要原因是：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36682588" w14:textId="77777777" w:rsidR="00757E34" w:rsidRDefault="000B28D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474AD4B"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B28FCC0" w14:textId="77777777" w:rsidR="00757E34" w:rsidRDefault="000B28DB" w:rsidP="005730E9">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2023年度一般公共预算财政拨款支出240.37万元，占本年支出合计的</w:t>
      </w:r>
      <w:r>
        <w:rPr>
          <w:rFonts w:ascii="仿宋_GB2312" w:eastAsia="仿宋_GB2312" w:hint="eastAsia"/>
          <w:sz w:val="32"/>
          <w:szCs w:val="32"/>
          <w:lang w:val="zh-CN"/>
        </w:rPr>
        <w:t>99.13%</w:t>
      </w:r>
      <w:r>
        <w:rPr>
          <w:rFonts w:ascii="仿宋_GB2312" w:eastAsia="仿宋_GB2312" w:hint="eastAsia"/>
          <w:sz w:val="32"/>
          <w:szCs w:val="32"/>
        </w:rPr>
        <w:t>。与上年相比，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w:t>
      </w:r>
      <w:r>
        <w:rPr>
          <w:rFonts w:ascii="仿宋_GB2312" w:eastAsia="仿宋_GB2312" w:hint="eastAsia"/>
          <w:sz w:val="32"/>
          <w:szCs w:val="32"/>
          <w:lang w:val="zh-CN"/>
        </w:rPr>
        <w:t>-15.54%</w:t>
      </w:r>
      <w:r>
        <w:rPr>
          <w:rFonts w:ascii="仿宋_GB2312" w:eastAsia="仿宋_GB2312" w:hint="eastAsia"/>
          <w:sz w:val="32"/>
          <w:szCs w:val="32"/>
        </w:rPr>
        <w:t>，主要原因是：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0E7517D0" w14:textId="77777777" w:rsidR="00757E34" w:rsidRDefault="000B28D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D1F33AB" w14:textId="040FBE5E" w:rsidR="00757E34" w:rsidRDefault="000B28D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206.49</w:t>
      </w:r>
      <w:r>
        <w:rPr>
          <w:rFonts w:ascii="仿宋_GB2312" w:eastAsia="仿宋_GB2312"/>
          <w:kern w:val="2"/>
          <w:sz w:val="32"/>
          <w:szCs w:val="32"/>
          <w:lang w:val="zh-CN"/>
        </w:rPr>
        <w:t>万元，占</w:t>
      </w:r>
      <w:r>
        <w:rPr>
          <w:rFonts w:ascii="仿宋_GB2312" w:eastAsia="仿宋_GB2312" w:hint="eastAsia"/>
          <w:kern w:val="2"/>
          <w:sz w:val="32"/>
          <w:szCs w:val="32"/>
          <w:lang w:val="zh-CN"/>
        </w:rPr>
        <w:t>85.9</w:t>
      </w:r>
      <w:r w:rsidR="00B36179">
        <w:rPr>
          <w:rFonts w:ascii="仿宋_GB2312" w:eastAsia="仿宋_GB2312" w:hint="eastAsia"/>
          <w:kern w:val="2"/>
          <w:sz w:val="32"/>
          <w:szCs w:val="32"/>
          <w:lang w:val="zh-CN"/>
        </w:rPr>
        <w:t>1</w:t>
      </w:r>
      <w:r>
        <w:rPr>
          <w:rFonts w:ascii="仿宋_GB2312" w:eastAsia="仿宋_GB2312"/>
          <w:kern w:val="2"/>
          <w:sz w:val="32"/>
          <w:szCs w:val="32"/>
          <w:lang w:val="zh-CN"/>
        </w:rPr>
        <w:t>%；</w:t>
      </w:r>
    </w:p>
    <w:p w14:paraId="710E0E4B"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2</w:t>
      </w:r>
      <w:r w:rsidR="000B28DB">
        <w:rPr>
          <w:rFonts w:ascii="仿宋_GB2312" w:eastAsia="仿宋_GB2312"/>
          <w:kern w:val="2"/>
          <w:sz w:val="32"/>
          <w:szCs w:val="32"/>
          <w:lang w:val="zh-CN"/>
        </w:rPr>
        <w:t>.社会保障和就业支出（类）</w:t>
      </w:r>
      <w:r w:rsidR="000B28DB">
        <w:rPr>
          <w:rFonts w:ascii="仿宋_GB2312" w:eastAsia="仿宋_GB2312" w:hint="eastAsia"/>
          <w:kern w:val="2"/>
          <w:sz w:val="32"/>
          <w:szCs w:val="32"/>
          <w:lang w:val="zh-CN"/>
        </w:rPr>
        <w:t>25.46</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10.59</w:t>
      </w:r>
      <w:r w:rsidR="000B28DB">
        <w:rPr>
          <w:rFonts w:ascii="仿宋_GB2312" w:eastAsia="仿宋_GB2312"/>
          <w:kern w:val="2"/>
          <w:sz w:val="32"/>
          <w:szCs w:val="32"/>
          <w:lang w:val="zh-CN"/>
        </w:rPr>
        <w:t>%；</w:t>
      </w:r>
    </w:p>
    <w:p w14:paraId="43475805"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B28DB">
        <w:rPr>
          <w:rFonts w:ascii="仿宋_GB2312" w:eastAsia="仿宋_GB2312"/>
          <w:kern w:val="2"/>
          <w:sz w:val="32"/>
          <w:szCs w:val="32"/>
          <w:lang w:val="zh-CN"/>
        </w:rPr>
        <w:t>.住房保障支出（类）</w:t>
      </w:r>
      <w:r w:rsidR="000B28DB">
        <w:rPr>
          <w:rFonts w:ascii="仿宋_GB2312" w:eastAsia="仿宋_GB2312" w:hint="eastAsia"/>
          <w:kern w:val="2"/>
          <w:sz w:val="32"/>
          <w:szCs w:val="32"/>
          <w:lang w:val="zh-CN"/>
        </w:rPr>
        <w:t>8.42</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3.50</w:t>
      </w:r>
      <w:r w:rsidR="000B28DB">
        <w:rPr>
          <w:rFonts w:ascii="仿宋_GB2312" w:eastAsia="仿宋_GB2312"/>
          <w:kern w:val="2"/>
          <w:sz w:val="32"/>
          <w:szCs w:val="32"/>
          <w:lang w:val="zh-CN"/>
        </w:rPr>
        <w:t>%</w:t>
      </w:r>
      <w:r>
        <w:rPr>
          <w:rFonts w:ascii="仿宋_GB2312" w:eastAsia="仿宋_GB2312" w:hint="eastAsia"/>
          <w:kern w:val="2"/>
          <w:sz w:val="32"/>
          <w:szCs w:val="32"/>
          <w:lang w:val="zh-CN"/>
        </w:rPr>
        <w:t>。</w:t>
      </w:r>
    </w:p>
    <w:p w14:paraId="23088C90"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053480"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1.住房保障支出（类）住房改革支出（款）住房公积金（项）:支出决算数为8.42万元，比上年决算增加1.01万元，增长13.70%，主要原因是：</w:t>
      </w:r>
      <w:r w:rsidR="00C63FE3">
        <w:rPr>
          <w:rFonts w:ascii="仿宋_GB2312" w:eastAsia="仿宋_GB2312" w:hint="eastAsia"/>
          <w:sz w:val="32"/>
          <w:szCs w:val="32"/>
        </w:rPr>
        <w:t>本年单位人员增加，人员</w:t>
      </w:r>
      <w:r w:rsidR="00C63FE3" w:rsidRPr="00C63FE3">
        <w:rPr>
          <w:rFonts w:ascii="仿宋_GB2312" w:eastAsia="仿宋_GB2312" w:hint="eastAsia"/>
          <w:sz w:val="32"/>
          <w:szCs w:val="32"/>
        </w:rPr>
        <w:t>住房公积金</w:t>
      </w:r>
      <w:r w:rsidR="00C63FE3">
        <w:rPr>
          <w:rFonts w:ascii="仿宋_GB2312" w:eastAsia="仿宋_GB2312" w:hint="eastAsia"/>
          <w:sz w:val="32"/>
          <w:szCs w:val="32"/>
        </w:rPr>
        <w:t>缴费增加</w:t>
      </w:r>
      <w:r w:rsidRPr="00C63FE3">
        <w:rPr>
          <w:rFonts w:ascii="仿宋_GB2312" w:eastAsia="仿宋_GB2312" w:hint="eastAsia"/>
          <w:sz w:val="32"/>
          <w:szCs w:val="32"/>
        </w:rPr>
        <w:t>。</w:t>
      </w:r>
    </w:p>
    <w:p w14:paraId="54BBD13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2.一般公共服务支出（类）组织事务（款）其他组织事务支出（项）:支出决算数为5.00万元，比上年决算增加5.00万元，增长100%，主要原因是：</w:t>
      </w:r>
      <w:r w:rsidR="00C63FE3">
        <w:rPr>
          <w:rFonts w:ascii="仿宋_GB2312" w:eastAsia="仿宋_GB2312" w:hint="eastAsia"/>
          <w:sz w:val="32"/>
          <w:szCs w:val="32"/>
        </w:rPr>
        <w:t>本年单位新增</w:t>
      </w:r>
      <w:r w:rsidR="00C63FE3" w:rsidRPr="00C63FE3">
        <w:rPr>
          <w:rFonts w:ascii="仿宋_GB2312" w:eastAsia="仿宋_GB2312" w:hint="eastAsia"/>
          <w:sz w:val="32"/>
          <w:szCs w:val="32"/>
        </w:rPr>
        <w:t>基层机构运转补助资金</w:t>
      </w:r>
      <w:r w:rsidRPr="00C63FE3">
        <w:rPr>
          <w:rFonts w:ascii="仿宋_GB2312" w:eastAsia="仿宋_GB2312" w:hint="eastAsia"/>
          <w:sz w:val="32"/>
          <w:szCs w:val="32"/>
        </w:rPr>
        <w:t>。</w:t>
      </w:r>
    </w:p>
    <w:p w14:paraId="44560618"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3.社会保障和就业支出（类）抚恤（款）死亡抚恤（项）:支出决算数为11.02万元，比上年决算增加11.02万元，增长100%，主要原因是：</w:t>
      </w:r>
      <w:r w:rsidR="00C63FE3" w:rsidRPr="00C63FE3">
        <w:rPr>
          <w:rFonts w:ascii="仿宋_GB2312" w:eastAsia="仿宋_GB2312" w:hint="eastAsia"/>
          <w:sz w:val="32"/>
          <w:szCs w:val="32"/>
        </w:rPr>
        <w:t>2023年遗孀人员生活费纳入该科目列支，2022年在行政单位离退休</w:t>
      </w:r>
      <w:r w:rsidR="00C63FE3">
        <w:rPr>
          <w:rFonts w:ascii="仿宋_GB2312" w:eastAsia="仿宋_GB2312" w:hint="eastAsia"/>
          <w:sz w:val="32"/>
          <w:szCs w:val="32"/>
        </w:rPr>
        <w:t>科目</w:t>
      </w:r>
      <w:r w:rsidR="00C63FE3" w:rsidRPr="00C63FE3">
        <w:rPr>
          <w:rFonts w:ascii="仿宋_GB2312" w:eastAsia="仿宋_GB2312" w:hint="eastAsia"/>
          <w:sz w:val="32"/>
          <w:szCs w:val="32"/>
        </w:rPr>
        <w:t>列支</w:t>
      </w:r>
      <w:r w:rsidRPr="00C63FE3">
        <w:rPr>
          <w:rFonts w:ascii="仿宋_GB2312" w:eastAsia="仿宋_GB2312" w:hint="eastAsia"/>
          <w:sz w:val="32"/>
          <w:szCs w:val="32"/>
        </w:rPr>
        <w:t>。</w:t>
      </w:r>
    </w:p>
    <w:p w14:paraId="33349BC3"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4.一般公共服务支出（类）组织事务（款）行政运行（项）:支出决算数为201.49万元，比上年决算增加53.52万元，增长36.17%，主要原因是：</w:t>
      </w:r>
      <w:r w:rsidR="00C63FE3">
        <w:rPr>
          <w:rFonts w:ascii="仿宋_GB2312" w:eastAsia="仿宋_GB2312" w:hint="eastAsia"/>
          <w:sz w:val="32"/>
          <w:szCs w:val="32"/>
        </w:rPr>
        <w:t>本年单位人员增加，人员工资、津补贴等人员经费增加</w:t>
      </w:r>
      <w:r w:rsidRPr="00C63FE3">
        <w:rPr>
          <w:rFonts w:ascii="仿宋_GB2312" w:eastAsia="仿宋_GB2312" w:hint="eastAsia"/>
          <w:sz w:val="32"/>
          <w:szCs w:val="32"/>
        </w:rPr>
        <w:t>。</w:t>
      </w:r>
    </w:p>
    <w:p w14:paraId="044867E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5.社会保障和就业支出（类）行政事业单位养老支出（款）行政单位离退休（项）:支出决算数为3.25万元，比上年决算减少7.58万元，下降70.00%，主要原因是：</w:t>
      </w:r>
      <w:r w:rsidR="00C63FE3">
        <w:rPr>
          <w:rFonts w:ascii="仿宋_GB2312" w:eastAsia="仿宋_GB2312" w:hint="eastAsia"/>
          <w:sz w:val="32"/>
          <w:szCs w:val="32"/>
        </w:rPr>
        <w:t>科目调整细化，本年将遗孀人员生活补助经费调整至</w:t>
      </w:r>
      <w:r w:rsidR="00C63FE3" w:rsidRPr="00C63FE3">
        <w:rPr>
          <w:rFonts w:ascii="仿宋_GB2312" w:eastAsia="仿宋_GB2312" w:hint="eastAsia"/>
          <w:sz w:val="32"/>
          <w:szCs w:val="32"/>
        </w:rPr>
        <w:t>死亡抚恤</w:t>
      </w:r>
      <w:r w:rsidR="00C63FE3">
        <w:rPr>
          <w:rFonts w:ascii="仿宋_GB2312" w:eastAsia="仿宋_GB2312" w:hint="eastAsia"/>
          <w:sz w:val="32"/>
          <w:szCs w:val="32"/>
        </w:rPr>
        <w:t>科</w:t>
      </w:r>
      <w:r w:rsidR="00C63FE3">
        <w:rPr>
          <w:rFonts w:ascii="仿宋_GB2312" w:eastAsia="仿宋_GB2312" w:hint="eastAsia"/>
          <w:sz w:val="32"/>
          <w:szCs w:val="32"/>
        </w:rPr>
        <w:lastRenderedPageBreak/>
        <w:t>目</w:t>
      </w:r>
      <w:r w:rsidRPr="00C63FE3">
        <w:rPr>
          <w:rFonts w:ascii="仿宋_GB2312" w:eastAsia="仿宋_GB2312" w:hint="eastAsia"/>
          <w:sz w:val="32"/>
          <w:szCs w:val="32"/>
        </w:rPr>
        <w:t>。</w:t>
      </w:r>
    </w:p>
    <w:p w14:paraId="68C6B726"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6.社会保障和就业支出（类）行政事业单位养老支出（款）机关事业单位基本养老保险缴费支出（项）:支出决算数为11.19万元，比上年决算增加1.71万元，增长18.07%，主要原因是：</w:t>
      </w:r>
      <w:r w:rsidR="00C63FE3">
        <w:rPr>
          <w:rFonts w:ascii="仿宋_GB2312" w:eastAsia="仿宋_GB2312" w:hint="eastAsia"/>
          <w:sz w:val="32"/>
          <w:szCs w:val="32"/>
        </w:rPr>
        <w:t>本年单位人员增加，</w:t>
      </w:r>
      <w:r w:rsidR="00C63FE3">
        <w:rPr>
          <w:rFonts w:eastAsia="仿宋_GB2312" w:hint="eastAsia"/>
          <w:sz w:val="32"/>
          <w:szCs w:val="32"/>
        </w:rPr>
        <w:t>人员养老保险缴费增加</w:t>
      </w:r>
      <w:r w:rsidRPr="00C63FE3">
        <w:rPr>
          <w:rFonts w:ascii="仿宋_GB2312" w:eastAsia="仿宋_GB2312" w:hint="eastAsia"/>
          <w:sz w:val="32"/>
          <w:szCs w:val="32"/>
        </w:rPr>
        <w:t>。</w:t>
      </w:r>
    </w:p>
    <w:p w14:paraId="2A6D096B"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0F14D4"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235.37万元，其中：人员经费123.54万元，包括：基本工资、津贴补贴、奖金、机关事业单位基本养老保险缴费、职工基本医疗保险缴费、公务员医疗补助缴费、其他社会保障缴费、住房公积金、退休费、生活补助、奖励金、其他对个人和家庭的补</w:t>
      </w:r>
      <w:r w:rsidR="00DA2D64">
        <w:rPr>
          <w:rFonts w:ascii="仿宋_GB2312" w:eastAsia="仿宋_GB2312" w:hint="eastAsia"/>
          <w:sz w:val="32"/>
          <w:szCs w:val="32"/>
        </w:rPr>
        <w:t>助</w:t>
      </w:r>
      <w:r>
        <w:rPr>
          <w:rFonts w:ascii="仿宋_GB2312" w:eastAsia="仿宋_GB2312" w:hint="eastAsia"/>
          <w:sz w:val="32"/>
          <w:szCs w:val="32"/>
        </w:rPr>
        <w:t>。</w:t>
      </w:r>
    </w:p>
    <w:p w14:paraId="419EE361" w14:textId="77777777" w:rsidR="00757E34" w:rsidRDefault="000B28DB">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公用经费111.83万元，包括：办公费、水费、电费、取暖费、专用材料费、公务用车运行维护费</w:t>
      </w:r>
      <w:r w:rsidR="00DA2D64">
        <w:rPr>
          <w:rFonts w:ascii="仿宋_GB2312" w:eastAsia="仿宋_GB2312" w:hint="eastAsia"/>
          <w:sz w:val="32"/>
          <w:szCs w:val="32"/>
        </w:rPr>
        <w:t>。</w:t>
      </w:r>
    </w:p>
    <w:p w14:paraId="0785DC5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5623F0F" w14:textId="51327BE1"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“三公”经费支出1.07万元，</w:t>
      </w:r>
      <w:r>
        <w:rPr>
          <w:rFonts w:ascii="仿宋_GB2312" w:eastAsia="仿宋_GB2312" w:hint="eastAsia"/>
          <w:sz w:val="32"/>
          <w:szCs w:val="32"/>
        </w:rPr>
        <w:t>比上年</w:t>
      </w:r>
      <w:r>
        <w:rPr>
          <w:rFonts w:ascii="仿宋_GB2312" w:eastAsia="仿宋_GB2312" w:hint="eastAsia"/>
          <w:sz w:val="32"/>
          <w:szCs w:val="32"/>
          <w:lang w:val="zh-CN"/>
        </w:rPr>
        <w:t>减少0.32万元，</w:t>
      </w:r>
      <w:r>
        <w:rPr>
          <w:rFonts w:ascii="仿宋_GB2312" w:eastAsia="仿宋_GB2312" w:hint="eastAsia"/>
          <w:sz w:val="32"/>
          <w:szCs w:val="32"/>
        </w:rPr>
        <w:t>下降23.</w:t>
      </w:r>
      <w:r w:rsidR="006D09DA">
        <w:rPr>
          <w:rFonts w:ascii="仿宋_GB2312" w:eastAsia="仿宋_GB2312" w:hint="eastAsia"/>
          <w:sz w:val="32"/>
          <w:szCs w:val="32"/>
        </w:rPr>
        <w:t>02</w:t>
      </w:r>
      <w:r>
        <w:rPr>
          <w:rFonts w:ascii="仿宋_GB2312" w:eastAsia="仿宋_GB2312" w:hint="eastAsia"/>
          <w:sz w:val="32"/>
          <w:szCs w:val="32"/>
        </w:rPr>
        <w:t>%,</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；公务用车购置及运行维护费支出1.07万元，占100.00%，比上年减少0.32万元，</w:t>
      </w:r>
      <w:r>
        <w:rPr>
          <w:rFonts w:ascii="仿宋_GB2312" w:eastAsia="仿宋_GB2312" w:hint="eastAsia"/>
          <w:sz w:val="32"/>
          <w:szCs w:val="32"/>
        </w:rPr>
        <w:t>下降23.</w:t>
      </w:r>
      <w:r w:rsidR="006D09DA">
        <w:rPr>
          <w:rFonts w:ascii="仿宋_GB2312" w:eastAsia="仿宋_GB2312" w:hint="eastAsia"/>
          <w:sz w:val="32"/>
          <w:szCs w:val="32"/>
        </w:rPr>
        <w:t>02</w:t>
      </w:r>
      <w:r>
        <w:rPr>
          <w:rFonts w:ascii="仿宋_GB2312" w:eastAsia="仿宋_GB2312" w:hint="eastAsia"/>
          <w:sz w:val="32"/>
          <w:szCs w:val="32"/>
        </w:rPr>
        <w:t>%,</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；公务接待费支出0.00万元，占0.00%，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1519F34D"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F978413"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12B2A219"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公务用车购置及运行维护费1.07万元，其中：公务用车购置费0.00万元，公务用车运行维护费1.07万元。公务用车运行维护费开支内容包括</w:t>
      </w:r>
      <w:r w:rsidR="00DA2D64"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A2D64">
        <w:rPr>
          <w:rFonts w:ascii="仿宋_GB2312" w:eastAsia="仿宋_GB2312" w:hint="eastAsia"/>
          <w:sz w:val="32"/>
          <w:szCs w:val="32"/>
          <w:lang w:val="zh-CN"/>
        </w:rPr>
        <w:t>对比无差异</w:t>
      </w:r>
      <w:r>
        <w:rPr>
          <w:rFonts w:ascii="仿宋_GB2312" w:eastAsia="仿宋_GB2312" w:hint="eastAsia"/>
          <w:sz w:val="32"/>
          <w:szCs w:val="32"/>
          <w:lang w:val="zh-CN"/>
        </w:rPr>
        <w:t>。</w:t>
      </w:r>
    </w:p>
    <w:p w14:paraId="6A0160B6"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1E818D5"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预算数1.07万元，决算数1.07万元，预决算差异率0.00%，主要原因是：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预算数1.07万元，决算</w:t>
      </w:r>
      <w:r>
        <w:rPr>
          <w:rFonts w:ascii="仿宋_GB2312" w:eastAsia="仿宋_GB2312" w:hint="eastAsia"/>
          <w:sz w:val="32"/>
          <w:szCs w:val="32"/>
          <w:lang w:val="zh-CN"/>
        </w:rPr>
        <w:lastRenderedPageBreak/>
        <w:t>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00D80BD" w14:textId="77777777" w:rsidR="00757E34" w:rsidRDefault="000B28D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110B8F0"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993A6B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6F2739"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3409BC3" w14:textId="77777777" w:rsidR="00757E34" w:rsidRDefault="000B28D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0A44A75" w14:textId="77777777" w:rsidR="00757E34" w:rsidRDefault="000B28D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9C909F9" w14:textId="01210A3D" w:rsidR="00757E34" w:rsidRPr="00DA2D64" w:rsidRDefault="000B28DB">
      <w:pPr>
        <w:ind w:firstLineChars="200" w:firstLine="640"/>
        <w:jc w:val="left"/>
        <w:rPr>
          <w:rFonts w:ascii="仿宋_GB2312" w:eastAsia="仿宋_GB2312"/>
          <w:sz w:val="32"/>
          <w:szCs w:val="32"/>
        </w:rPr>
      </w:pPr>
      <w:bookmarkStart w:id="24" w:name="_Toc227"/>
      <w:bookmarkStart w:id="25" w:name="_Toc26704"/>
      <w:r w:rsidRPr="00DA2D64">
        <w:rPr>
          <w:rFonts w:ascii="仿宋_GB2312" w:eastAsia="仿宋_GB2312" w:hint="eastAsia"/>
          <w:sz w:val="32"/>
          <w:szCs w:val="32"/>
        </w:rPr>
        <w:t>2023年度中共木垒哈萨克自治县委员会老干部局（行政单位和参照公务员法管理事业单位）机关运行经费支出111.83万元，比上年增加89.20万元，增长394.1</w:t>
      </w:r>
      <w:r w:rsidR="00B36179">
        <w:rPr>
          <w:rFonts w:ascii="仿宋_GB2312" w:eastAsia="仿宋_GB2312" w:hint="eastAsia"/>
          <w:sz w:val="32"/>
          <w:szCs w:val="32"/>
        </w:rPr>
        <w:t>7</w:t>
      </w:r>
      <w:r w:rsidRPr="00DA2D64">
        <w:rPr>
          <w:rFonts w:ascii="仿宋_GB2312" w:eastAsia="仿宋_GB2312" w:hint="eastAsia"/>
          <w:sz w:val="32"/>
          <w:szCs w:val="32"/>
        </w:rPr>
        <w:t>%，主要原因是：</w:t>
      </w:r>
      <w:r w:rsidR="00DA2D64">
        <w:rPr>
          <w:rFonts w:ascii="仿宋_GB2312" w:eastAsia="仿宋_GB2312" w:hint="eastAsia"/>
          <w:sz w:val="32"/>
          <w:szCs w:val="32"/>
        </w:rPr>
        <w:t>本年单位办公经费、水电费、取暖费较上年增加</w:t>
      </w:r>
      <w:r w:rsidRPr="00DA2D64">
        <w:rPr>
          <w:rFonts w:ascii="仿宋_GB2312" w:eastAsia="仿宋_GB2312" w:hint="eastAsia"/>
          <w:sz w:val="32"/>
          <w:szCs w:val="32"/>
        </w:rPr>
        <w:t>。</w:t>
      </w:r>
    </w:p>
    <w:p w14:paraId="70907A62" w14:textId="77777777" w:rsidR="00757E34" w:rsidRDefault="000B28D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1B4009A"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2023年度政府采购支出总额8.41万元，其中：政府采购货物支出3.58万元、政府采购工程支出1.35万元、政府采购服务支出3.48万元。</w:t>
      </w:r>
    </w:p>
    <w:p w14:paraId="21880FA7"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lastRenderedPageBreak/>
        <w:t>授予中小企业合同金额8.41万元，占政府采购支出总额的100.00</w:t>
      </w:r>
      <w:r w:rsidRPr="00DA2D64">
        <w:rPr>
          <w:rFonts w:ascii="仿宋_GB2312" w:eastAsia="仿宋_GB2312"/>
          <w:sz w:val="32"/>
          <w:szCs w:val="32"/>
        </w:rPr>
        <w:t>%</w:t>
      </w:r>
      <w:r w:rsidRPr="00DA2D64">
        <w:rPr>
          <w:rFonts w:ascii="仿宋_GB2312" w:eastAsia="仿宋_GB2312" w:hint="eastAsia"/>
          <w:sz w:val="32"/>
          <w:szCs w:val="32"/>
        </w:rPr>
        <w:t>，其中：授予小微企业合同金额8.04万元，占政府采购支出总额的95.60</w:t>
      </w:r>
      <w:r w:rsidRPr="00DA2D64">
        <w:rPr>
          <w:rFonts w:ascii="仿宋_GB2312" w:eastAsia="仿宋_GB2312"/>
          <w:sz w:val="32"/>
          <w:szCs w:val="32"/>
        </w:rPr>
        <w:t>%</w:t>
      </w:r>
      <w:r w:rsidRPr="00DA2D64">
        <w:rPr>
          <w:rFonts w:ascii="仿宋_GB2312" w:eastAsia="仿宋_GB2312" w:hint="eastAsia"/>
          <w:sz w:val="32"/>
          <w:szCs w:val="32"/>
        </w:rPr>
        <w:t>。</w:t>
      </w:r>
    </w:p>
    <w:p w14:paraId="7BCD4F4F" w14:textId="77777777" w:rsidR="00757E34" w:rsidRDefault="000B28D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E687B25"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截至2023年12月31日，固定资产原值581.61万元，房屋1</w:t>
      </w:r>
      <w:r w:rsidR="00DA2D64">
        <w:rPr>
          <w:rFonts w:ascii="仿宋_GB2312" w:eastAsia="仿宋_GB2312"/>
          <w:sz w:val="32"/>
          <w:szCs w:val="32"/>
        </w:rPr>
        <w:t>,</w:t>
      </w:r>
      <w:r w:rsidRPr="00DA2D64">
        <w:rPr>
          <w:rFonts w:ascii="仿宋_GB2312" w:eastAsia="仿宋_GB2312" w:hint="eastAsia"/>
          <w:sz w:val="32"/>
          <w:szCs w:val="32"/>
        </w:rPr>
        <w:t>796.73平方米，价值496.43万元。车辆1辆，价值21.69万元，其中：副部（省）级及以上领导用车0辆、主要负责人用车0辆、机要通信用车0辆、应急保障用车0辆、执法执勤用车0辆、特种专业技术用车0辆、离退休干部服务用车0辆、其他用车1辆，其他用车主要是：</w:t>
      </w:r>
      <w:r w:rsidR="00DA2D64">
        <w:rPr>
          <w:rFonts w:ascii="仿宋_GB2312" w:eastAsia="仿宋_GB2312" w:hint="eastAsia"/>
          <w:sz w:val="32"/>
          <w:szCs w:val="32"/>
        </w:rPr>
        <w:t>单位业务用车</w:t>
      </w:r>
      <w:r w:rsidRPr="00DA2D64">
        <w:rPr>
          <w:rFonts w:ascii="仿宋_GB2312" w:eastAsia="仿宋_GB2312" w:hint="eastAsia"/>
          <w:sz w:val="32"/>
          <w:szCs w:val="32"/>
        </w:rPr>
        <w:t>；单价100万元（含）以上设备（不含车辆）0台（套）。</w:t>
      </w:r>
    </w:p>
    <w:p w14:paraId="5948EE37" w14:textId="77777777" w:rsidR="00757E34" w:rsidRDefault="000B28D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E7A18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A2D64" w:rsidRPr="00DA2D64">
        <w:rPr>
          <w:rFonts w:ascii="仿宋_GB2312" w:eastAsia="仿宋_GB2312"/>
          <w:sz w:val="32"/>
          <w:szCs w:val="32"/>
        </w:rPr>
        <w:t>242.48</w:t>
      </w:r>
      <w:r>
        <w:rPr>
          <w:rFonts w:ascii="仿宋_GB2312" w:eastAsia="仿宋_GB2312" w:hint="eastAsia"/>
          <w:sz w:val="32"/>
          <w:szCs w:val="32"/>
        </w:rPr>
        <w:t>万元，实际执行总额</w:t>
      </w:r>
      <w:r w:rsidR="00DA2D64" w:rsidRPr="00DA2D64">
        <w:rPr>
          <w:rFonts w:ascii="仿宋_GB2312" w:eastAsia="仿宋_GB2312"/>
          <w:sz w:val="32"/>
          <w:szCs w:val="32"/>
        </w:rPr>
        <w:t>242.48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70624">
        <w:rPr>
          <w:rFonts w:ascii="仿宋_GB2312" w:eastAsia="仿宋_GB2312" w:hint="eastAsia"/>
          <w:sz w:val="32"/>
          <w:szCs w:val="32"/>
        </w:rPr>
        <w:t>1</w:t>
      </w:r>
      <w:r>
        <w:rPr>
          <w:rFonts w:ascii="仿宋_GB2312" w:eastAsia="仿宋_GB2312" w:hint="eastAsia"/>
          <w:sz w:val="32"/>
          <w:szCs w:val="32"/>
        </w:rPr>
        <w:t>个，全年预算数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万元，全年执行数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万元。预算绩效管理取得的成效：</w:t>
      </w:r>
      <w:r w:rsidR="00DA2D64" w:rsidRPr="00DA2D64">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DA2D64" w:rsidRPr="00DA2D64">
        <w:rPr>
          <w:rFonts w:ascii="仿宋_GB2312" w:eastAsia="仿宋_GB2312" w:hint="eastAsia"/>
          <w:sz w:val="32"/>
          <w:szCs w:val="32"/>
        </w:rPr>
        <w:t>一是部门职能不明确，个别</w:t>
      </w:r>
      <w:r w:rsidR="00DA2D64" w:rsidRPr="00DA2D64">
        <w:rPr>
          <w:rFonts w:ascii="仿宋_GB2312" w:eastAsia="仿宋_GB2312" w:hint="eastAsia"/>
          <w:sz w:val="32"/>
          <w:szCs w:val="32"/>
        </w:rPr>
        <w:lastRenderedPageBreak/>
        <w:t>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DA2D64" w:rsidRPr="00DA2D6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816"/>
        <w:gridCol w:w="1455"/>
        <w:gridCol w:w="707"/>
        <w:gridCol w:w="878"/>
        <w:gridCol w:w="1018"/>
      </w:tblGrid>
      <w:tr w:rsidR="00370624" w:rsidRPr="00370624" w14:paraId="385BBA00" w14:textId="77777777" w:rsidTr="00370624">
        <w:trPr>
          <w:trHeight w:val="522"/>
        </w:trPr>
        <w:tc>
          <w:tcPr>
            <w:tcW w:w="5000" w:type="pct"/>
            <w:gridSpan w:val="8"/>
            <w:shd w:val="clear" w:color="auto" w:fill="auto"/>
            <w:noWrap/>
            <w:vAlign w:val="center"/>
            <w:hideMark/>
          </w:tcPr>
          <w:p w14:paraId="1A2C80F3" w14:textId="77777777" w:rsidR="00370624" w:rsidRPr="00370624" w:rsidRDefault="00370624" w:rsidP="00370624">
            <w:pPr>
              <w:widowControl/>
              <w:jc w:val="center"/>
              <w:rPr>
                <w:rFonts w:asciiTheme="minorEastAsia" w:eastAsiaTheme="minorEastAsia" w:hAnsiTheme="minorEastAsia" w:cs="宋体" w:hint="eastAsia"/>
                <w:b/>
                <w:bCs/>
                <w:kern w:val="0"/>
                <w:sz w:val="32"/>
                <w:szCs w:val="32"/>
              </w:rPr>
            </w:pPr>
            <w:r w:rsidRPr="00370624">
              <w:rPr>
                <w:rFonts w:asciiTheme="minorEastAsia" w:eastAsiaTheme="minorEastAsia" w:hAnsiTheme="minorEastAsia" w:cs="宋体" w:hint="eastAsia"/>
                <w:b/>
                <w:bCs/>
                <w:kern w:val="0"/>
                <w:sz w:val="32"/>
                <w:szCs w:val="32"/>
              </w:rPr>
              <w:t>部门（单位）整体支出绩效目标自评表</w:t>
            </w:r>
          </w:p>
        </w:tc>
      </w:tr>
      <w:tr w:rsidR="00370624" w:rsidRPr="00370624" w14:paraId="16EBD731" w14:textId="77777777" w:rsidTr="00370624">
        <w:trPr>
          <w:trHeight w:val="360"/>
        </w:trPr>
        <w:tc>
          <w:tcPr>
            <w:tcW w:w="5000" w:type="pct"/>
            <w:gridSpan w:val="8"/>
            <w:shd w:val="clear" w:color="auto" w:fill="auto"/>
            <w:noWrap/>
            <w:vAlign w:val="center"/>
            <w:hideMark/>
          </w:tcPr>
          <w:p w14:paraId="31FB760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（2023年度）</w:t>
            </w:r>
          </w:p>
        </w:tc>
      </w:tr>
      <w:tr w:rsidR="00370624" w:rsidRPr="00370624" w14:paraId="2ACD4469" w14:textId="77777777" w:rsidTr="00370624">
        <w:trPr>
          <w:trHeight w:val="660"/>
        </w:trPr>
        <w:tc>
          <w:tcPr>
            <w:tcW w:w="1065" w:type="pct"/>
            <w:shd w:val="clear" w:color="auto" w:fill="auto"/>
            <w:noWrap/>
            <w:vAlign w:val="center"/>
            <w:hideMark/>
          </w:tcPr>
          <w:p w14:paraId="70AB34C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部门（单位）名称</w:t>
            </w:r>
          </w:p>
        </w:tc>
        <w:tc>
          <w:tcPr>
            <w:tcW w:w="3935" w:type="pct"/>
            <w:gridSpan w:val="7"/>
            <w:shd w:val="clear" w:color="auto" w:fill="auto"/>
            <w:noWrap/>
            <w:vAlign w:val="center"/>
            <w:hideMark/>
          </w:tcPr>
          <w:p w14:paraId="7315EA5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木垒县老干局本级</w:t>
            </w:r>
          </w:p>
        </w:tc>
      </w:tr>
      <w:tr w:rsidR="00370624" w:rsidRPr="00370624" w14:paraId="2C99862A" w14:textId="77777777" w:rsidTr="006D09DA">
        <w:trPr>
          <w:trHeight w:val="570"/>
        </w:trPr>
        <w:tc>
          <w:tcPr>
            <w:tcW w:w="1065" w:type="pct"/>
            <w:vMerge w:val="restart"/>
            <w:shd w:val="clear" w:color="auto" w:fill="auto"/>
            <w:vAlign w:val="center"/>
            <w:hideMark/>
          </w:tcPr>
          <w:p w14:paraId="1FC63A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部门资金（万元）</w:t>
            </w:r>
          </w:p>
        </w:tc>
        <w:tc>
          <w:tcPr>
            <w:tcW w:w="596" w:type="pct"/>
            <w:shd w:val="clear" w:color="auto" w:fill="auto"/>
            <w:vAlign w:val="center"/>
            <w:hideMark/>
          </w:tcPr>
          <w:p w14:paraId="12BB3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资金来源</w:t>
            </w:r>
          </w:p>
        </w:tc>
        <w:tc>
          <w:tcPr>
            <w:tcW w:w="479" w:type="pct"/>
            <w:shd w:val="clear" w:color="auto" w:fill="auto"/>
            <w:vAlign w:val="center"/>
            <w:hideMark/>
          </w:tcPr>
          <w:p w14:paraId="32F1A67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年初预算数</w:t>
            </w:r>
          </w:p>
        </w:tc>
        <w:tc>
          <w:tcPr>
            <w:tcW w:w="479" w:type="pct"/>
            <w:shd w:val="clear" w:color="auto" w:fill="auto"/>
            <w:vAlign w:val="center"/>
            <w:hideMark/>
          </w:tcPr>
          <w:p w14:paraId="7B8C635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全年预算数</w:t>
            </w:r>
          </w:p>
        </w:tc>
        <w:tc>
          <w:tcPr>
            <w:tcW w:w="854" w:type="pct"/>
            <w:shd w:val="clear" w:color="auto" w:fill="auto"/>
            <w:vAlign w:val="center"/>
            <w:hideMark/>
          </w:tcPr>
          <w:p w14:paraId="53CC1C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全年执行数</w:t>
            </w:r>
          </w:p>
        </w:tc>
        <w:tc>
          <w:tcPr>
            <w:tcW w:w="415" w:type="pct"/>
            <w:shd w:val="clear" w:color="auto" w:fill="auto"/>
            <w:vAlign w:val="center"/>
            <w:hideMark/>
          </w:tcPr>
          <w:p w14:paraId="587526D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215FC19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执行率</w:t>
            </w:r>
          </w:p>
        </w:tc>
        <w:tc>
          <w:tcPr>
            <w:tcW w:w="597" w:type="pct"/>
            <w:shd w:val="clear" w:color="auto" w:fill="auto"/>
            <w:vAlign w:val="center"/>
            <w:hideMark/>
          </w:tcPr>
          <w:p w14:paraId="7192ECF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29B601B5" w14:textId="77777777" w:rsidTr="006D09DA">
        <w:trPr>
          <w:trHeight w:val="882"/>
        </w:trPr>
        <w:tc>
          <w:tcPr>
            <w:tcW w:w="1065" w:type="pct"/>
            <w:vMerge/>
            <w:vAlign w:val="center"/>
            <w:hideMark/>
          </w:tcPr>
          <w:p w14:paraId="18BCC936"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noWrap/>
            <w:vAlign w:val="center"/>
            <w:hideMark/>
          </w:tcPr>
          <w:p w14:paraId="1D7FC8D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中央安排</w:t>
            </w:r>
          </w:p>
        </w:tc>
        <w:tc>
          <w:tcPr>
            <w:tcW w:w="479" w:type="pct"/>
            <w:shd w:val="clear" w:color="auto" w:fill="auto"/>
            <w:vAlign w:val="center"/>
            <w:hideMark/>
          </w:tcPr>
          <w:p w14:paraId="4A4826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4D0A88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81CA8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E753F7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c>
          <w:tcPr>
            <w:tcW w:w="515" w:type="pct"/>
            <w:shd w:val="clear" w:color="auto" w:fill="auto"/>
            <w:vAlign w:val="center"/>
            <w:hideMark/>
          </w:tcPr>
          <w:p w14:paraId="2311E14D"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100%</w:t>
            </w:r>
          </w:p>
        </w:tc>
        <w:tc>
          <w:tcPr>
            <w:tcW w:w="597" w:type="pct"/>
            <w:shd w:val="clear" w:color="auto" w:fill="auto"/>
            <w:vAlign w:val="center"/>
            <w:hideMark/>
          </w:tcPr>
          <w:p w14:paraId="7FFD0B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r>
      <w:tr w:rsidR="00370624" w:rsidRPr="00370624" w14:paraId="1E8E044A" w14:textId="77777777" w:rsidTr="006D09DA">
        <w:trPr>
          <w:trHeight w:val="882"/>
        </w:trPr>
        <w:tc>
          <w:tcPr>
            <w:tcW w:w="1065" w:type="pct"/>
            <w:vMerge/>
            <w:vAlign w:val="center"/>
            <w:hideMark/>
          </w:tcPr>
          <w:p w14:paraId="466C3B0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4121067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自治区安排</w:t>
            </w:r>
          </w:p>
        </w:tc>
        <w:tc>
          <w:tcPr>
            <w:tcW w:w="479" w:type="pct"/>
            <w:shd w:val="clear" w:color="auto" w:fill="auto"/>
            <w:vAlign w:val="center"/>
            <w:hideMark/>
          </w:tcPr>
          <w:p w14:paraId="2B028A7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479" w:type="pct"/>
            <w:shd w:val="clear" w:color="auto" w:fill="auto"/>
            <w:vAlign w:val="center"/>
            <w:hideMark/>
          </w:tcPr>
          <w:p w14:paraId="1B8661F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854" w:type="pct"/>
            <w:shd w:val="clear" w:color="auto" w:fill="auto"/>
            <w:vAlign w:val="center"/>
            <w:hideMark/>
          </w:tcPr>
          <w:p w14:paraId="0D68910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415" w:type="pct"/>
            <w:shd w:val="clear" w:color="auto" w:fill="auto"/>
            <w:vAlign w:val="center"/>
            <w:hideMark/>
          </w:tcPr>
          <w:p w14:paraId="7F8F922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41E6C4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4D039C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DD6AF6A" w14:textId="77777777" w:rsidTr="006D09DA">
        <w:trPr>
          <w:trHeight w:val="882"/>
        </w:trPr>
        <w:tc>
          <w:tcPr>
            <w:tcW w:w="1065" w:type="pct"/>
            <w:vMerge/>
            <w:vAlign w:val="center"/>
            <w:hideMark/>
          </w:tcPr>
          <w:p w14:paraId="494757D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1017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地（州、市）安排</w:t>
            </w:r>
          </w:p>
        </w:tc>
        <w:tc>
          <w:tcPr>
            <w:tcW w:w="479" w:type="pct"/>
            <w:shd w:val="clear" w:color="auto" w:fill="auto"/>
            <w:vAlign w:val="center"/>
            <w:hideMark/>
          </w:tcPr>
          <w:p w14:paraId="3FF711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0477D85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04B3454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C751C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63CE13B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73D858E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6D09DA" w:rsidRPr="00370624" w14:paraId="5DCE0E3A" w14:textId="77777777" w:rsidTr="006D09DA">
        <w:trPr>
          <w:trHeight w:val="882"/>
        </w:trPr>
        <w:tc>
          <w:tcPr>
            <w:tcW w:w="1065" w:type="pct"/>
            <w:vMerge/>
            <w:vAlign w:val="center"/>
            <w:hideMark/>
          </w:tcPr>
          <w:p w14:paraId="40146321" w14:textId="77777777" w:rsidR="006D09DA" w:rsidRPr="00370624" w:rsidRDefault="006D09DA" w:rsidP="006D09DA">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692BB8DC"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县（市、区）安排</w:t>
            </w:r>
          </w:p>
        </w:tc>
        <w:tc>
          <w:tcPr>
            <w:tcW w:w="479" w:type="pct"/>
            <w:shd w:val="clear" w:color="auto" w:fill="auto"/>
            <w:vAlign w:val="center"/>
            <w:hideMark/>
          </w:tcPr>
          <w:p w14:paraId="4D5FC1E3"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6D9E05DE"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854" w:type="pct"/>
            <w:shd w:val="clear" w:color="auto" w:fill="auto"/>
            <w:vAlign w:val="center"/>
            <w:hideMark/>
          </w:tcPr>
          <w:p w14:paraId="6253FEC5"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415" w:type="pct"/>
            <w:shd w:val="clear" w:color="auto" w:fill="auto"/>
            <w:vAlign w:val="center"/>
            <w:hideMark/>
          </w:tcPr>
          <w:p w14:paraId="4B61C5C6" w14:textId="015F163E"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00ED2097" w14:textId="639F2076"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2407E44C" w14:textId="110DAD46"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6D09DA" w:rsidRPr="00370624" w14:paraId="1ADB6EB8" w14:textId="77777777" w:rsidTr="006D09DA">
        <w:trPr>
          <w:trHeight w:val="882"/>
        </w:trPr>
        <w:tc>
          <w:tcPr>
            <w:tcW w:w="1065" w:type="pct"/>
            <w:vMerge/>
            <w:vAlign w:val="center"/>
            <w:hideMark/>
          </w:tcPr>
          <w:p w14:paraId="4504AB83" w14:textId="77777777" w:rsidR="006D09DA" w:rsidRPr="00370624" w:rsidRDefault="006D09DA" w:rsidP="006D09DA">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F349A0D"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其他资金</w:t>
            </w:r>
          </w:p>
        </w:tc>
        <w:tc>
          <w:tcPr>
            <w:tcW w:w="479" w:type="pct"/>
            <w:shd w:val="clear" w:color="auto" w:fill="auto"/>
            <w:vAlign w:val="center"/>
            <w:hideMark/>
          </w:tcPr>
          <w:p w14:paraId="0006E049"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22D6F1CA"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B069EBD"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38047D4C" w14:textId="7290E231"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1F478EC6" w14:textId="7F2221D9"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173D0452" w14:textId="5F3C47EA"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3549ADF" w14:textId="77777777" w:rsidTr="006D09DA">
        <w:trPr>
          <w:trHeight w:val="882"/>
        </w:trPr>
        <w:tc>
          <w:tcPr>
            <w:tcW w:w="1065" w:type="pct"/>
            <w:vMerge/>
            <w:vAlign w:val="center"/>
            <w:hideMark/>
          </w:tcPr>
          <w:p w14:paraId="6F3353C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1F219EF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合计</w:t>
            </w:r>
          </w:p>
        </w:tc>
        <w:tc>
          <w:tcPr>
            <w:tcW w:w="479" w:type="pct"/>
            <w:shd w:val="clear" w:color="auto" w:fill="auto"/>
            <w:vAlign w:val="center"/>
            <w:hideMark/>
          </w:tcPr>
          <w:p w14:paraId="67DCEB1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2134688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854" w:type="pct"/>
            <w:shd w:val="clear" w:color="auto" w:fill="auto"/>
            <w:vAlign w:val="center"/>
            <w:hideMark/>
          </w:tcPr>
          <w:p w14:paraId="729B480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415" w:type="pct"/>
            <w:shd w:val="clear" w:color="auto" w:fill="auto"/>
            <w:vAlign w:val="center"/>
            <w:hideMark/>
          </w:tcPr>
          <w:p w14:paraId="4A2722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5A7053F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22521DF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6B4C0173" w14:textId="77777777" w:rsidTr="00370624">
        <w:trPr>
          <w:trHeight w:val="705"/>
        </w:trPr>
        <w:tc>
          <w:tcPr>
            <w:tcW w:w="1065" w:type="pct"/>
            <w:vMerge w:val="restart"/>
            <w:shd w:val="clear" w:color="auto" w:fill="auto"/>
            <w:vAlign w:val="center"/>
            <w:hideMark/>
          </w:tcPr>
          <w:p w14:paraId="1FC62672"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年度总体目标</w:t>
            </w:r>
          </w:p>
        </w:tc>
        <w:tc>
          <w:tcPr>
            <w:tcW w:w="1554" w:type="pct"/>
            <w:gridSpan w:val="3"/>
            <w:shd w:val="clear" w:color="auto" w:fill="auto"/>
            <w:noWrap/>
            <w:vAlign w:val="center"/>
            <w:hideMark/>
          </w:tcPr>
          <w:p w14:paraId="0FBD973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预期目标</w:t>
            </w:r>
          </w:p>
        </w:tc>
        <w:tc>
          <w:tcPr>
            <w:tcW w:w="2381" w:type="pct"/>
            <w:gridSpan w:val="4"/>
            <w:shd w:val="clear" w:color="auto" w:fill="auto"/>
            <w:noWrap/>
            <w:vAlign w:val="center"/>
            <w:hideMark/>
          </w:tcPr>
          <w:p w14:paraId="775DF9F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实际完成情况</w:t>
            </w:r>
          </w:p>
        </w:tc>
      </w:tr>
      <w:tr w:rsidR="00370624" w:rsidRPr="00370624" w14:paraId="3249BF39" w14:textId="77777777" w:rsidTr="00370624">
        <w:trPr>
          <w:trHeight w:val="1999"/>
        </w:trPr>
        <w:tc>
          <w:tcPr>
            <w:tcW w:w="1065" w:type="pct"/>
            <w:vMerge/>
            <w:vAlign w:val="center"/>
            <w:hideMark/>
          </w:tcPr>
          <w:p w14:paraId="5DE08EF0"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1554" w:type="pct"/>
            <w:gridSpan w:val="3"/>
            <w:shd w:val="clear" w:color="auto" w:fill="auto"/>
            <w:vAlign w:val="center"/>
            <w:hideMark/>
          </w:tcPr>
          <w:p w14:paraId="0AD8784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目标1：组织老干部学习新政策，在社会主义物质文明和精神文明建设中发挥作用；做好老干部的管理服务工作。                                         </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目标2：组织老干部参加老干部党校培训1次</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目标3：关心关爱、慰问离退休老干部及遗孀8人。</w:t>
            </w:r>
          </w:p>
        </w:tc>
        <w:tc>
          <w:tcPr>
            <w:tcW w:w="2381" w:type="pct"/>
            <w:gridSpan w:val="4"/>
            <w:shd w:val="clear" w:color="auto" w:fill="auto"/>
            <w:vAlign w:val="center"/>
            <w:hideMark/>
          </w:tcPr>
          <w:p w14:paraId="2D8A6B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截止2023年12月底本单位已完成组织老干部学习新政策，在社会主义物质文明和精神文明建设中发挥作用；做好老干部的管理服务工作和组织老干部参加老干部党校培训1次以及关心关爱、慰问离退休老干部及遗孀8人。</w:t>
            </w:r>
          </w:p>
        </w:tc>
      </w:tr>
      <w:tr w:rsidR="00370624" w:rsidRPr="00370624" w14:paraId="75E55B68" w14:textId="77777777" w:rsidTr="006D09DA">
        <w:trPr>
          <w:trHeight w:val="582"/>
        </w:trPr>
        <w:tc>
          <w:tcPr>
            <w:tcW w:w="1065" w:type="pct"/>
            <w:shd w:val="clear" w:color="auto" w:fill="auto"/>
            <w:vAlign w:val="center"/>
            <w:hideMark/>
          </w:tcPr>
          <w:p w14:paraId="5239C55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一级指标</w:t>
            </w:r>
          </w:p>
        </w:tc>
        <w:tc>
          <w:tcPr>
            <w:tcW w:w="596" w:type="pct"/>
            <w:shd w:val="clear" w:color="auto" w:fill="auto"/>
            <w:vAlign w:val="center"/>
            <w:hideMark/>
          </w:tcPr>
          <w:p w14:paraId="0D55BB49"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二级指标</w:t>
            </w:r>
          </w:p>
        </w:tc>
        <w:tc>
          <w:tcPr>
            <w:tcW w:w="479" w:type="pct"/>
            <w:shd w:val="clear" w:color="auto" w:fill="auto"/>
            <w:vAlign w:val="center"/>
            <w:hideMark/>
          </w:tcPr>
          <w:p w14:paraId="2CFE96F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三级指标</w:t>
            </w:r>
          </w:p>
        </w:tc>
        <w:tc>
          <w:tcPr>
            <w:tcW w:w="479" w:type="pct"/>
            <w:shd w:val="clear" w:color="auto" w:fill="auto"/>
            <w:vAlign w:val="center"/>
            <w:hideMark/>
          </w:tcPr>
          <w:p w14:paraId="3DF26B7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预期指标值</w:t>
            </w:r>
          </w:p>
        </w:tc>
        <w:tc>
          <w:tcPr>
            <w:tcW w:w="854" w:type="pct"/>
            <w:shd w:val="clear" w:color="auto" w:fill="auto"/>
            <w:vAlign w:val="center"/>
            <w:hideMark/>
          </w:tcPr>
          <w:p w14:paraId="1811264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指标值设定依据</w:t>
            </w:r>
          </w:p>
        </w:tc>
        <w:tc>
          <w:tcPr>
            <w:tcW w:w="415" w:type="pct"/>
            <w:shd w:val="clear" w:color="auto" w:fill="auto"/>
            <w:vAlign w:val="center"/>
            <w:hideMark/>
          </w:tcPr>
          <w:p w14:paraId="64F6ED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6FFB8070"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实际完成指标值</w:t>
            </w:r>
          </w:p>
        </w:tc>
        <w:tc>
          <w:tcPr>
            <w:tcW w:w="597" w:type="pct"/>
            <w:shd w:val="clear" w:color="auto" w:fill="auto"/>
            <w:vAlign w:val="center"/>
            <w:hideMark/>
          </w:tcPr>
          <w:p w14:paraId="1E7B29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372F5B22" w14:textId="77777777" w:rsidTr="006D09DA">
        <w:trPr>
          <w:trHeight w:val="739"/>
        </w:trPr>
        <w:tc>
          <w:tcPr>
            <w:tcW w:w="1065" w:type="pct"/>
            <w:vMerge w:val="restart"/>
            <w:shd w:val="clear" w:color="auto" w:fill="auto"/>
            <w:vAlign w:val="center"/>
            <w:hideMark/>
          </w:tcPr>
          <w:p w14:paraId="7AF09A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运行成本</w:t>
            </w:r>
          </w:p>
        </w:tc>
        <w:tc>
          <w:tcPr>
            <w:tcW w:w="596" w:type="pct"/>
            <w:vMerge w:val="restart"/>
            <w:shd w:val="clear" w:color="auto" w:fill="auto"/>
            <w:vAlign w:val="center"/>
            <w:hideMark/>
          </w:tcPr>
          <w:p w14:paraId="7B555C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14BBE86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保障办公人员数量</w:t>
            </w:r>
          </w:p>
        </w:tc>
        <w:tc>
          <w:tcPr>
            <w:tcW w:w="479" w:type="pct"/>
            <w:shd w:val="clear" w:color="auto" w:fill="auto"/>
            <w:vAlign w:val="center"/>
            <w:hideMark/>
          </w:tcPr>
          <w:p w14:paraId="07CF9AD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&gt;=6人</w:t>
            </w:r>
          </w:p>
        </w:tc>
        <w:tc>
          <w:tcPr>
            <w:tcW w:w="854" w:type="pct"/>
            <w:shd w:val="clear" w:color="auto" w:fill="auto"/>
            <w:vAlign w:val="center"/>
            <w:hideMark/>
          </w:tcPr>
          <w:p w14:paraId="4274521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中共木垒哈萨克自治县委员会办公室关于印发《中共木垒哈萨克自治县委员会老干部局职能配置、内设机构和人员编制规定》的通知</w:t>
            </w:r>
          </w:p>
        </w:tc>
        <w:tc>
          <w:tcPr>
            <w:tcW w:w="415" w:type="pct"/>
            <w:shd w:val="clear" w:color="auto" w:fill="auto"/>
            <w:vAlign w:val="center"/>
            <w:hideMark/>
          </w:tcPr>
          <w:p w14:paraId="037E45B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c>
          <w:tcPr>
            <w:tcW w:w="515" w:type="pct"/>
            <w:shd w:val="clear" w:color="auto" w:fill="auto"/>
            <w:vAlign w:val="center"/>
            <w:hideMark/>
          </w:tcPr>
          <w:p w14:paraId="1E44BBD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6人</w:t>
            </w:r>
          </w:p>
        </w:tc>
        <w:tc>
          <w:tcPr>
            <w:tcW w:w="597" w:type="pct"/>
            <w:shd w:val="clear" w:color="auto" w:fill="auto"/>
            <w:vAlign w:val="center"/>
            <w:hideMark/>
          </w:tcPr>
          <w:p w14:paraId="4DE722D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5AA18B05" w14:textId="77777777" w:rsidTr="006D09DA">
        <w:trPr>
          <w:trHeight w:val="739"/>
        </w:trPr>
        <w:tc>
          <w:tcPr>
            <w:tcW w:w="1065" w:type="pct"/>
            <w:vMerge/>
            <w:vAlign w:val="center"/>
            <w:hideMark/>
          </w:tcPr>
          <w:p w14:paraId="2EC7EB76"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6A0EBFA"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2689B50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公务保障用车数量</w:t>
            </w:r>
          </w:p>
        </w:tc>
        <w:tc>
          <w:tcPr>
            <w:tcW w:w="479" w:type="pct"/>
            <w:shd w:val="clear" w:color="auto" w:fill="auto"/>
            <w:vAlign w:val="center"/>
            <w:hideMark/>
          </w:tcPr>
          <w:p w14:paraId="0BF3AEC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&gt;=1辆</w:t>
            </w:r>
          </w:p>
        </w:tc>
        <w:tc>
          <w:tcPr>
            <w:tcW w:w="854" w:type="pct"/>
            <w:shd w:val="clear" w:color="auto" w:fill="auto"/>
            <w:vAlign w:val="center"/>
            <w:hideMark/>
          </w:tcPr>
          <w:p w14:paraId="1E8405B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中共木垒哈萨克自治县委员会办公室关于印发《中共木垒哈萨克自治县委员会老干部局职能配置、内设机构和人员编制规</w:t>
            </w:r>
            <w:r w:rsidRPr="00370624">
              <w:rPr>
                <w:rFonts w:asciiTheme="minorEastAsia" w:eastAsiaTheme="minorEastAsia" w:hAnsiTheme="minorEastAsia" w:cs="宋体" w:hint="eastAsia"/>
                <w:kern w:val="0"/>
                <w:sz w:val="20"/>
                <w:szCs w:val="20"/>
              </w:rPr>
              <w:lastRenderedPageBreak/>
              <w:t>定》的通知</w:t>
            </w:r>
          </w:p>
        </w:tc>
        <w:tc>
          <w:tcPr>
            <w:tcW w:w="415" w:type="pct"/>
            <w:shd w:val="clear" w:color="auto" w:fill="auto"/>
            <w:vAlign w:val="center"/>
            <w:hideMark/>
          </w:tcPr>
          <w:p w14:paraId="49DB408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lastRenderedPageBreak/>
              <w:t>8</w:t>
            </w:r>
          </w:p>
        </w:tc>
        <w:tc>
          <w:tcPr>
            <w:tcW w:w="515" w:type="pct"/>
            <w:shd w:val="clear" w:color="auto" w:fill="auto"/>
            <w:vAlign w:val="center"/>
            <w:hideMark/>
          </w:tcPr>
          <w:p w14:paraId="7B4649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1辆</w:t>
            </w:r>
          </w:p>
        </w:tc>
        <w:tc>
          <w:tcPr>
            <w:tcW w:w="597" w:type="pct"/>
            <w:shd w:val="clear" w:color="auto" w:fill="auto"/>
            <w:vAlign w:val="center"/>
            <w:hideMark/>
          </w:tcPr>
          <w:p w14:paraId="527481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0EB6F1F7" w14:textId="77777777" w:rsidTr="006D09DA">
        <w:trPr>
          <w:trHeight w:val="739"/>
        </w:trPr>
        <w:tc>
          <w:tcPr>
            <w:tcW w:w="1065" w:type="pct"/>
            <w:vMerge w:val="restart"/>
            <w:shd w:val="clear" w:color="auto" w:fill="auto"/>
            <w:vAlign w:val="center"/>
            <w:hideMark/>
          </w:tcPr>
          <w:p w14:paraId="025F1F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管理效率</w:t>
            </w:r>
          </w:p>
        </w:tc>
        <w:tc>
          <w:tcPr>
            <w:tcW w:w="596" w:type="pct"/>
            <w:vMerge/>
            <w:vAlign w:val="center"/>
            <w:hideMark/>
          </w:tcPr>
          <w:p w14:paraId="16474AF0"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81294D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组织老干部文艺活动</w:t>
            </w:r>
          </w:p>
        </w:tc>
        <w:tc>
          <w:tcPr>
            <w:tcW w:w="479" w:type="pct"/>
            <w:shd w:val="clear" w:color="auto" w:fill="auto"/>
            <w:vAlign w:val="center"/>
            <w:hideMark/>
          </w:tcPr>
          <w:p w14:paraId="0BE4905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&gt;=10次</w:t>
            </w:r>
          </w:p>
        </w:tc>
        <w:tc>
          <w:tcPr>
            <w:tcW w:w="854" w:type="pct"/>
            <w:shd w:val="clear" w:color="auto" w:fill="auto"/>
            <w:vAlign w:val="center"/>
            <w:hideMark/>
          </w:tcPr>
          <w:p w14:paraId="5A820E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A7BED7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0F516CF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10次</w:t>
            </w:r>
          </w:p>
        </w:tc>
        <w:tc>
          <w:tcPr>
            <w:tcW w:w="597" w:type="pct"/>
            <w:shd w:val="clear" w:color="auto" w:fill="auto"/>
            <w:vAlign w:val="center"/>
            <w:hideMark/>
          </w:tcPr>
          <w:p w14:paraId="41CDC9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57B6B227" w14:textId="77777777" w:rsidTr="006D09DA">
        <w:trPr>
          <w:trHeight w:val="739"/>
        </w:trPr>
        <w:tc>
          <w:tcPr>
            <w:tcW w:w="1065" w:type="pct"/>
            <w:vMerge/>
            <w:vAlign w:val="center"/>
            <w:hideMark/>
          </w:tcPr>
          <w:p w14:paraId="1B6D3D64"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8D8E2B2"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37D977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开展全县老干部送学活动</w:t>
            </w:r>
          </w:p>
        </w:tc>
        <w:tc>
          <w:tcPr>
            <w:tcW w:w="479" w:type="pct"/>
            <w:shd w:val="clear" w:color="auto" w:fill="auto"/>
            <w:vAlign w:val="center"/>
            <w:hideMark/>
          </w:tcPr>
          <w:p w14:paraId="4427762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&gt;=1次</w:t>
            </w:r>
          </w:p>
        </w:tc>
        <w:tc>
          <w:tcPr>
            <w:tcW w:w="854" w:type="pct"/>
            <w:shd w:val="clear" w:color="auto" w:fill="auto"/>
            <w:vAlign w:val="center"/>
            <w:hideMark/>
          </w:tcPr>
          <w:p w14:paraId="38EDC26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14473D9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0C12735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1次</w:t>
            </w:r>
          </w:p>
        </w:tc>
        <w:tc>
          <w:tcPr>
            <w:tcW w:w="597" w:type="pct"/>
            <w:shd w:val="clear" w:color="auto" w:fill="auto"/>
            <w:vAlign w:val="center"/>
            <w:hideMark/>
          </w:tcPr>
          <w:p w14:paraId="3AE0A8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399C7071" w14:textId="77777777" w:rsidTr="006D09DA">
        <w:trPr>
          <w:trHeight w:val="739"/>
        </w:trPr>
        <w:tc>
          <w:tcPr>
            <w:tcW w:w="1065" w:type="pct"/>
            <w:vMerge/>
            <w:vAlign w:val="center"/>
            <w:hideMark/>
          </w:tcPr>
          <w:p w14:paraId="16DD6B4C"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4769F00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质量指标</w:t>
            </w:r>
          </w:p>
        </w:tc>
        <w:tc>
          <w:tcPr>
            <w:tcW w:w="479" w:type="pct"/>
            <w:shd w:val="clear" w:color="auto" w:fill="auto"/>
            <w:vAlign w:val="center"/>
            <w:hideMark/>
          </w:tcPr>
          <w:p w14:paraId="4629A62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活动开展成功率</w:t>
            </w:r>
          </w:p>
        </w:tc>
        <w:tc>
          <w:tcPr>
            <w:tcW w:w="479" w:type="pct"/>
            <w:shd w:val="clear" w:color="auto" w:fill="auto"/>
            <w:vAlign w:val="center"/>
            <w:hideMark/>
          </w:tcPr>
          <w:p w14:paraId="46D781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&gt;=90%</w:t>
            </w:r>
          </w:p>
        </w:tc>
        <w:tc>
          <w:tcPr>
            <w:tcW w:w="854" w:type="pct"/>
            <w:shd w:val="clear" w:color="auto" w:fill="auto"/>
            <w:vAlign w:val="center"/>
            <w:hideMark/>
          </w:tcPr>
          <w:p w14:paraId="547CD99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54B4EBC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3BC5C3F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90%</w:t>
            </w:r>
          </w:p>
        </w:tc>
        <w:tc>
          <w:tcPr>
            <w:tcW w:w="597" w:type="pct"/>
            <w:shd w:val="clear" w:color="auto" w:fill="auto"/>
            <w:vAlign w:val="center"/>
            <w:hideMark/>
          </w:tcPr>
          <w:p w14:paraId="2CFB23E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0A691DD" w14:textId="77777777" w:rsidTr="006D09DA">
        <w:trPr>
          <w:trHeight w:val="739"/>
        </w:trPr>
        <w:tc>
          <w:tcPr>
            <w:tcW w:w="1065" w:type="pct"/>
            <w:vMerge/>
            <w:vAlign w:val="center"/>
            <w:hideMark/>
          </w:tcPr>
          <w:p w14:paraId="419262A3"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27DEDAE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时效指标</w:t>
            </w:r>
          </w:p>
        </w:tc>
        <w:tc>
          <w:tcPr>
            <w:tcW w:w="479" w:type="pct"/>
            <w:shd w:val="clear" w:color="auto" w:fill="auto"/>
            <w:vAlign w:val="center"/>
            <w:hideMark/>
          </w:tcPr>
          <w:p w14:paraId="2B80F2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老干部报刊送学时间</w:t>
            </w:r>
          </w:p>
        </w:tc>
        <w:tc>
          <w:tcPr>
            <w:tcW w:w="479" w:type="pct"/>
            <w:shd w:val="clear" w:color="auto" w:fill="auto"/>
            <w:vAlign w:val="center"/>
            <w:hideMark/>
          </w:tcPr>
          <w:p w14:paraId="0CDEAB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&gt;=1年</w:t>
            </w:r>
          </w:p>
        </w:tc>
        <w:tc>
          <w:tcPr>
            <w:tcW w:w="854" w:type="pct"/>
            <w:shd w:val="clear" w:color="auto" w:fill="auto"/>
            <w:vAlign w:val="center"/>
            <w:hideMark/>
          </w:tcPr>
          <w:p w14:paraId="5572E0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3311B0D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48BB28A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1年</w:t>
            </w:r>
          </w:p>
        </w:tc>
        <w:tc>
          <w:tcPr>
            <w:tcW w:w="597" w:type="pct"/>
            <w:shd w:val="clear" w:color="auto" w:fill="auto"/>
            <w:vAlign w:val="center"/>
            <w:hideMark/>
          </w:tcPr>
          <w:p w14:paraId="4F12D5F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EA87E4C" w14:textId="77777777" w:rsidTr="006D09DA">
        <w:trPr>
          <w:trHeight w:val="739"/>
        </w:trPr>
        <w:tc>
          <w:tcPr>
            <w:tcW w:w="1065" w:type="pct"/>
            <w:vMerge w:val="restart"/>
            <w:shd w:val="clear" w:color="auto" w:fill="auto"/>
            <w:vAlign w:val="center"/>
            <w:hideMark/>
          </w:tcPr>
          <w:p w14:paraId="313682C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履职效能</w:t>
            </w:r>
          </w:p>
        </w:tc>
        <w:tc>
          <w:tcPr>
            <w:tcW w:w="596" w:type="pct"/>
            <w:vMerge w:val="restart"/>
            <w:shd w:val="clear" w:color="auto" w:fill="auto"/>
            <w:vAlign w:val="center"/>
            <w:hideMark/>
          </w:tcPr>
          <w:p w14:paraId="1345098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5A8B61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走访慰问异地安置离休干部</w:t>
            </w:r>
          </w:p>
        </w:tc>
        <w:tc>
          <w:tcPr>
            <w:tcW w:w="479" w:type="pct"/>
            <w:shd w:val="clear" w:color="auto" w:fill="auto"/>
            <w:vAlign w:val="center"/>
            <w:hideMark/>
          </w:tcPr>
          <w:p w14:paraId="3017F85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&gt;=6次</w:t>
            </w:r>
          </w:p>
        </w:tc>
        <w:tc>
          <w:tcPr>
            <w:tcW w:w="854" w:type="pct"/>
            <w:shd w:val="clear" w:color="auto" w:fill="auto"/>
            <w:vAlign w:val="center"/>
            <w:hideMark/>
          </w:tcPr>
          <w:p w14:paraId="229FAED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6302A0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76D361A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6次</w:t>
            </w:r>
          </w:p>
        </w:tc>
        <w:tc>
          <w:tcPr>
            <w:tcW w:w="597" w:type="pct"/>
            <w:shd w:val="clear" w:color="auto" w:fill="auto"/>
            <w:vAlign w:val="center"/>
            <w:hideMark/>
          </w:tcPr>
          <w:p w14:paraId="26553A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61E80E3" w14:textId="77777777" w:rsidTr="006D09DA">
        <w:trPr>
          <w:trHeight w:val="739"/>
        </w:trPr>
        <w:tc>
          <w:tcPr>
            <w:tcW w:w="1065" w:type="pct"/>
            <w:vMerge/>
            <w:vAlign w:val="center"/>
            <w:hideMark/>
          </w:tcPr>
          <w:p w14:paraId="1101E34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1079FBE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32C2B6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帮扶特困离休干部及遗孀</w:t>
            </w:r>
          </w:p>
        </w:tc>
        <w:tc>
          <w:tcPr>
            <w:tcW w:w="479" w:type="pct"/>
            <w:shd w:val="clear" w:color="auto" w:fill="auto"/>
            <w:vAlign w:val="center"/>
            <w:hideMark/>
          </w:tcPr>
          <w:p w14:paraId="72CFBDD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&gt;=8人</w:t>
            </w:r>
          </w:p>
        </w:tc>
        <w:tc>
          <w:tcPr>
            <w:tcW w:w="854" w:type="pct"/>
            <w:shd w:val="clear" w:color="auto" w:fill="auto"/>
            <w:vAlign w:val="center"/>
            <w:hideMark/>
          </w:tcPr>
          <w:p w14:paraId="26B37B4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E8D7BC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24D18BF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8人</w:t>
            </w:r>
          </w:p>
        </w:tc>
        <w:tc>
          <w:tcPr>
            <w:tcW w:w="597" w:type="pct"/>
            <w:shd w:val="clear" w:color="auto" w:fill="auto"/>
            <w:vAlign w:val="center"/>
            <w:hideMark/>
          </w:tcPr>
          <w:p w14:paraId="15F2FE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23A65B54" w14:textId="77777777" w:rsidTr="006D09DA">
        <w:trPr>
          <w:trHeight w:val="739"/>
        </w:trPr>
        <w:tc>
          <w:tcPr>
            <w:tcW w:w="1065" w:type="pct"/>
            <w:shd w:val="clear" w:color="auto" w:fill="auto"/>
            <w:vAlign w:val="center"/>
            <w:hideMark/>
          </w:tcPr>
          <w:p w14:paraId="7B4352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社会效益</w:t>
            </w:r>
          </w:p>
        </w:tc>
        <w:tc>
          <w:tcPr>
            <w:tcW w:w="596" w:type="pct"/>
            <w:shd w:val="clear" w:color="auto" w:fill="auto"/>
            <w:vAlign w:val="center"/>
            <w:hideMark/>
          </w:tcPr>
          <w:p w14:paraId="60C53C2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09A2A75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FF9E3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708F449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4347663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2529348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38D021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063FB046" w14:textId="77777777" w:rsidTr="006D09DA">
        <w:trPr>
          <w:trHeight w:val="739"/>
        </w:trPr>
        <w:tc>
          <w:tcPr>
            <w:tcW w:w="1065" w:type="pct"/>
            <w:shd w:val="clear" w:color="auto" w:fill="auto"/>
            <w:vAlign w:val="center"/>
            <w:hideMark/>
          </w:tcPr>
          <w:p w14:paraId="400A70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可持续发展能力</w:t>
            </w:r>
          </w:p>
        </w:tc>
        <w:tc>
          <w:tcPr>
            <w:tcW w:w="596" w:type="pct"/>
            <w:shd w:val="clear" w:color="auto" w:fill="auto"/>
            <w:vAlign w:val="center"/>
            <w:hideMark/>
          </w:tcPr>
          <w:p w14:paraId="6B88917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1416A1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58F782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1C023A6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1C86619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6A5AF38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3E3EB2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6C0B0293" w14:textId="77777777" w:rsidTr="006D09DA">
        <w:trPr>
          <w:trHeight w:val="739"/>
        </w:trPr>
        <w:tc>
          <w:tcPr>
            <w:tcW w:w="1065" w:type="pct"/>
            <w:shd w:val="clear" w:color="auto" w:fill="auto"/>
            <w:vAlign w:val="center"/>
            <w:hideMark/>
          </w:tcPr>
          <w:p w14:paraId="545A341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服务对象满意度</w:t>
            </w:r>
          </w:p>
        </w:tc>
        <w:tc>
          <w:tcPr>
            <w:tcW w:w="596" w:type="pct"/>
            <w:shd w:val="clear" w:color="auto" w:fill="auto"/>
            <w:vAlign w:val="center"/>
            <w:hideMark/>
          </w:tcPr>
          <w:p w14:paraId="238D14D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6658F0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12D540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32FDE29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50E9B3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30A4E6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412964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bl>
    <w:p w14:paraId="7D6E9FA9" w14:textId="77777777" w:rsidR="00370624" w:rsidRDefault="00370624">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8"/>
        <w:gridCol w:w="1725"/>
        <w:gridCol w:w="691"/>
        <w:gridCol w:w="816"/>
        <w:gridCol w:w="843"/>
        <w:gridCol w:w="958"/>
        <w:gridCol w:w="165"/>
        <w:gridCol w:w="402"/>
        <w:gridCol w:w="516"/>
        <w:gridCol w:w="716"/>
      </w:tblGrid>
      <w:tr w:rsidR="00370624" w:rsidRPr="00370624" w14:paraId="6DCB5DEB" w14:textId="77777777" w:rsidTr="00370624">
        <w:trPr>
          <w:trHeight w:val="405"/>
        </w:trPr>
        <w:tc>
          <w:tcPr>
            <w:tcW w:w="5000" w:type="pct"/>
            <w:gridSpan w:val="12"/>
            <w:shd w:val="clear" w:color="auto" w:fill="auto"/>
            <w:vAlign w:val="center"/>
            <w:hideMark/>
          </w:tcPr>
          <w:p w14:paraId="17F003B8" w14:textId="77777777" w:rsidR="00370624" w:rsidRPr="00370624" w:rsidRDefault="00370624" w:rsidP="00370624">
            <w:pPr>
              <w:widowControl/>
              <w:jc w:val="center"/>
              <w:rPr>
                <w:rFonts w:ascii="宋体" w:hAnsi="宋体" w:cs="宋体" w:hint="eastAsia"/>
                <w:b/>
                <w:bCs/>
                <w:color w:val="000000"/>
                <w:kern w:val="0"/>
                <w:sz w:val="32"/>
                <w:szCs w:val="32"/>
              </w:rPr>
            </w:pPr>
            <w:r w:rsidRPr="00370624">
              <w:rPr>
                <w:rFonts w:ascii="宋体" w:hAnsi="宋体" w:cs="宋体" w:hint="eastAsia"/>
                <w:b/>
                <w:bCs/>
                <w:color w:val="000000"/>
                <w:kern w:val="0"/>
                <w:sz w:val="32"/>
                <w:szCs w:val="32"/>
              </w:rPr>
              <w:t>项目支出绩效自评表</w:t>
            </w:r>
          </w:p>
        </w:tc>
      </w:tr>
      <w:tr w:rsidR="00370624" w:rsidRPr="00370624" w14:paraId="5AC7AB88" w14:textId="77777777" w:rsidTr="00370624">
        <w:trPr>
          <w:trHeight w:val="270"/>
        </w:trPr>
        <w:tc>
          <w:tcPr>
            <w:tcW w:w="5000" w:type="pct"/>
            <w:gridSpan w:val="12"/>
            <w:shd w:val="clear" w:color="auto" w:fill="auto"/>
            <w:vAlign w:val="center"/>
            <w:hideMark/>
          </w:tcPr>
          <w:p w14:paraId="2DDEE3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(2023年度)</w:t>
            </w:r>
          </w:p>
        </w:tc>
      </w:tr>
      <w:tr w:rsidR="00370624" w:rsidRPr="00370624" w14:paraId="64B04993" w14:textId="77777777" w:rsidTr="00370624">
        <w:trPr>
          <w:trHeight w:val="270"/>
        </w:trPr>
        <w:tc>
          <w:tcPr>
            <w:tcW w:w="488" w:type="pct"/>
            <w:gridSpan w:val="2"/>
            <w:shd w:val="clear" w:color="auto" w:fill="auto"/>
            <w:vAlign w:val="center"/>
            <w:hideMark/>
          </w:tcPr>
          <w:p w14:paraId="390C5F9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2ABB0B6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木垒县老干部芦河松新疆曲子传承社活动补助经费</w:t>
            </w:r>
          </w:p>
        </w:tc>
      </w:tr>
      <w:tr w:rsidR="00370624" w:rsidRPr="00370624" w14:paraId="5FA5FB1D" w14:textId="77777777" w:rsidTr="006D09DA">
        <w:trPr>
          <w:trHeight w:val="270"/>
        </w:trPr>
        <w:tc>
          <w:tcPr>
            <w:tcW w:w="488" w:type="pct"/>
            <w:gridSpan w:val="2"/>
            <w:shd w:val="clear" w:color="auto" w:fill="auto"/>
            <w:vAlign w:val="center"/>
            <w:hideMark/>
          </w:tcPr>
          <w:p w14:paraId="5A0375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主管部门</w:t>
            </w:r>
          </w:p>
        </w:tc>
        <w:tc>
          <w:tcPr>
            <w:tcW w:w="2400" w:type="pct"/>
            <w:gridSpan w:val="4"/>
            <w:shd w:val="clear" w:color="auto" w:fill="auto"/>
            <w:vAlign w:val="center"/>
            <w:hideMark/>
          </w:tcPr>
          <w:p w14:paraId="51B5105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木垒县老干局本级</w:t>
            </w:r>
          </w:p>
        </w:tc>
        <w:tc>
          <w:tcPr>
            <w:tcW w:w="495" w:type="pct"/>
            <w:shd w:val="clear" w:color="auto" w:fill="auto"/>
            <w:vAlign w:val="center"/>
            <w:hideMark/>
          </w:tcPr>
          <w:p w14:paraId="2A4053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实施单位</w:t>
            </w:r>
          </w:p>
        </w:tc>
        <w:tc>
          <w:tcPr>
            <w:tcW w:w="1617" w:type="pct"/>
            <w:gridSpan w:val="5"/>
            <w:shd w:val="clear" w:color="auto" w:fill="auto"/>
            <w:vAlign w:val="center"/>
            <w:hideMark/>
          </w:tcPr>
          <w:p w14:paraId="00D7535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木垒县老干局本级</w:t>
            </w:r>
          </w:p>
        </w:tc>
      </w:tr>
      <w:tr w:rsidR="00370624" w:rsidRPr="00370624" w14:paraId="53E12DA4" w14:textId="77777777" w:rsidTr="006D09DA">
        <w:trPr>
          <w:trHeight w:val="480"/>
        </w:trPr>
        <w:tc>
          <w:tcPr>
            <w:tcW w:w="488" w:type="pct"/>
            <w:gridSpan w:val="2"/>
            <w:vMerge w:val="restart"/>
            <w:shd w:val="clear" w:color="auto" w:fill="auto"/>
            <w:vAlign w:val="center"/>
            <w:hideMark/>
          </w:tcPr>
          <w:p w14:paraId="7D9F69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项目资金</w:t>
            </w:r>
            <w:r w:rsidRPr="00370624">
              <w:rPr>
                <w:rFonts w:ascii="宋体" w:hAnsi="宋体" w:cs="宋体" w:hint="eastAsia"/>
                <w:color w:val="000000"/>
                <w:kern w:val="0"/>
                <w:sz w:val="20"/>
                <w:szCs w:val="20"/>
              </w:rPr>
              <w:br/>
              <w:t>（万元）</w:t>
            </w:r>
          </w:p>
        </w:tc>
        <w:tc>
          <w:tcPr>
            <w:tcW w:w="504" w:type="pct"/>
            <w:shd w:val="clear" w:color="auto" w:fill="auto"/>
            <w:vAlign w:val="center"/>
            <w:hideMark/>
          </w:tcPr>
          <w:p w14:paraId="67A68EA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1012" w:type="pct"/>
            <w:shd w:val="clear" w:color="auto" w:fill="auto"/>
            <w:vAlign w:val="center"/>
            <w:hideMark/>
          </w:tcPr>
          <w:p w14:paraId="7BBB97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66AEF1F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全年预算数</w:t>
            </w:r>
          </w:p>
        </w:tc>
        <w:tc>
          <w:tcPr>
            <w:tcW w:w="495" w:type="pct"/>
            <w:shd w:val="clear" w:color="auto" w:fill="auto"/>
            <w:vAlign w:val="center"/>
            <w:hideMark/>
          </w:tcPr>
          <w:p w14:paraId="608692F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全年执行数</w:t>
            </w:r>
          </w:p>
        </w:tc>
        <w:tc>
          <w:tcPr>
            <w:tcW w:w="659" w:type="pct"/>
            <w:gridSpan w:val="2"/>
            <w:shd w:val="clear" w:color="auto" w:fill="auto"/>
            <w:vAlign w:val="center"/>
            <w:hideMark/>
          </w:tcPr>
          <w:p w14:paraId="25C1B5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538" w:type="pct"/>
            <w:gridSpan w:val="2"/>
            <w:shd w:val="clear" w:color="auto" w:fill="auto"/>
            <w:vAlign w:val="center"/>
            <w:hideMark/>
          </w:tcPr>
          <w:p w14:paraId="134D5A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执行率</w:t>
            </w:r>
          </w:p>
        </w:tc>
        <w:tc>
          <w:tcPr>
            <w:tcW w:w="420" w:type="pct"/>
            <w:shd w:val="clear" w:color="auto" w:fill="auto"/>
            <w:vAlign w:val="center"/>
            <w:hideMark/>
          </w:tcPr>
          <w:p w14:paraId="19A7C2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r>
      <w:tr w:rsidR="00370624" w:rsidRPr="00370624" w14:paraId="7B977EF0" w14:textId="77777777" w:rsidTr="006D09DA">
        <w:trPr>
          <w:trHeight w:val="439"/>
        </w:trPr>
        <w:tc>
          <w:tcPr>
            <w:tcW w:w="488" w:type="pct"/>
            <w:gridSpan w:val="2"/>
            <w:vMerge/>
            <w:vAlign w:val="center"/>
            <w:hideMark/>
          </w:tcPr>
          <w:p w14:paraId="00A0C00D"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1F4738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年度资金总额</w:t>
            </w:r>
          </w:p>
        </w:tc>
        <w:tc>
          <w:tcPr>
            <w:tcW w:w="1012" w:type="pct"/>
            <w:shd w:val="clear" w:color="auto" w:fill="auto"/>
            <w:vAlign w:val="center"/>
            <w:hideMark/>
          </w:tcPr>
          <w:p w14:paraId="0A012D2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84" w:type="pct"/>
            <w:gridSpan w:val="2"/>
            <w:shd w:val="clear" w:color="auto" w:fill="auto"/>
            <w:vAlign w:val="center"/>
            <w:hideMark/>
          </w:tcPr>
          <w:p w14:paraId="6A2F1D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495" w:type="pct"/>
            <w:shd w:val="clear" w:color="auto" w:fill="auto"/>
            <w:vAlign w:val="center"/>
            <w:hideMark/>
          </w:tcPr>
          <w:p w14:paraId="2C9D12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659" w:type="pct"/>
            <w:gridSpan w:val="2"/>
            <w:shd w:val="clear" w:color="auto" w:fill="auto"/>
            <w:vAlign w:val="center"/>
            <w:hideMark/>
          </w:tcPr>
          <w:p w14:paraId="20E8813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538" w:type="pct"/>
            <w:gridSpan w:val="2"/>
            <w:shd w:val="clear" w:color="auto" w:fill="auto"/>
            <w:vAlign w:val="center"/>
            <w:hideMark/>
          </w:tcPr>
          <w:p w14:paraId="12B132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100.00%</w:t>
            </w:r>
          </w:p>
        </w:tc>
        <w:tc>
          <w:tcPr>
            <w:tcW w:w="420" w:type="pct"/>
            <w:shd w:val="clear" w:color="auto" w:fill="auto"/>
            <w:vAlign w:val="center"/>
            <w:hideMark/>
          </w:tcPr>
          <w:p w14:paraId="32F4FCE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w:t>
            </w:r>
          </w:p>
        </w:tc>
      </w:tr>
      <w:tr w:rsidR="00370624" w:rsidRPr="00370624" w14:paraId="36A871D9" w14:textId="77777777" w:rsidTr="006D09DA">
        <w:trPr>
          <w:trHeight w:val="439"/>
        </w:trPr>
        <w:tc>
          <w:tcPr>
            <w:tcW w:w="488" w:type="pct"/>
            <w:gridSpan w:val="2"/>
            <w:vMerge/>
            <w:vAlign w:val="center"/>
            <w:hideMark/>
          </w:tcPr>
          <w:p w14:paraId="7DEDA689"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211ABE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其中：当年财政拨款</w:t>
            </w:r>
          </w:p>
        </w:tc>
        <w:tc>
          <w:tcPr>
            <w:tcW w:w="1012" w:type="pct"/>
            <w:shd w:val="clear" w:color="auto" w:fill="auto"/>
            <w:vAlign w:val="center"/>
            <w:hideMark/>
          </w:tcPr>
          <w:p w14:paraId="1A0EAB8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84" w:type="pct"/>
            <w:gridSpan w:val="2"/>
            <w:shd w:val="clear" w:color="auto" w:fill="auto"/>
            <w:vAlign w:val="center"/>
            <w:hideMark/>
          </w:tcPr>
          <w:p w14:paraId="3FD834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495" w:type="pct"/>
            <w:shd w:val="clear" w:color="auto" w:fill="auto"/>
            <w:vAlign w:val="center"/>
            <w:hideMark/>
          </w:tcPr>
          <w:p w14:paraId="645D9C1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659" w:type="pct"/>
            <w:gridSpan w:val="2"/>
            <w:shd w:val="clear" w:color="auto" w:fill="auto"/>
            <w:vAlign w:val="center"/>
            <w:hideMark/>
          </w:tcPr>
          <w:p w14:paraId="763A030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8" w:type="pct"/>
            <w:gridSpan w:val="2"/>
            <w:shd w:val="clear" w:color="auto" w:fill="auto"/>
            <w:vAlign w:val="center"/>
            <w:hideMark/>
          </w:tcPr>
          <w:p w14:paraId="2A9435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12C5505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655A1125" w14:textId="77777777" w:rsidTr="006D09DA">
        <w:trPr>
          <w:trHeight w:val="439"/>
        </w:trPr>
        <w:tc>
          <w:tcPr>
            <w:tcW w:w="488" w:type="pct"/>
            <w:gridSpan w:val="2"/>
            <w:vMerge/>
            <w:vAlign w:val="center"/>
            <w:hideMark/>
          </w:tcPr>
          <w:p w14:paraId="10AAE409"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6FAD6EF"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12" w:type="pct"/>
            <w:shd w:val="clear" w:color="auto" w:fill="auto"/>
            <w:vAlign w:val="center"/>
            <w:hideMark/>
          </w:tcPr>
          <w:p w14:paraId="60144200"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0434D62A"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5" w:type="pct"/>
            <w:shd w:val="clear" w:color="auto" w:fill="auto"/>
            <w:vAlign w:val="center"/>
            <w:hideMark/>
          </w:tcPr>
          <w:p w14:paraId="7A08CCC4"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9" w:type="pct"/>
            <w:gridSpan w:val="2"/>
            <w:shd w:val="clear" w:color="auto" w:fill="auto"/>
            <w:vAlign w:val="center"/>
            <w:hideMark/>
          </w:tcPr>
          <w:p w14:paraId="3EA46E4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8" w:type="pct"/>
            <w:gridSpan w:val="2"/>
            <w:shd w:val="clear" w:color="auto" w:fill="auto"/>
            <w:vAlign w:val="center"/>
            <w:hideMark/>
          </w:tcPr>
          <w:p w14:paraId="45280D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2C8AD6A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4BCC2F8B" w14:textId="77777777" w:rsidTr="006D09DA">
        <w:trPr>
          <w:trHeight w:val="270"/>
        </w:trPr>
        <w:tc>
          <w:tcPr>
            <w:tcW w:w="244" w:type="pct"/>
            <w:vMerge w:val="restart"/>
            <w:shd w:val="clear" w:color="auto" w:fill="auto"/>
            <w:vAlign w:val="center"/>
            <w:hideMark/>
          </w:tcPr>
          <w:p w14:paraId="4B50AD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年度总体目标</w:t>
            </w:r>
          </w:p>
        </w:tc>
        <w:tc>
          <w:tcPr>
            <w:tcW w:w="2644" w:type="pct"/>
            <w:gridSpan w:val="5"/>
            <w:shd w:val="clear" w:color="auto" w:fill="auto"/>
            <w:vAlign w:val="center"/>
            <w:hideMark/>
          </w:tcPr>
          <w:p w14:paraId="710AD7A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预期目标</w:t>
            </w:r>
          </w:p>
        </w:tc>
        <w:tc>
          <w:tcPr>
            <w:tcW w:w="2112" w:type="pct"/>
            <w:gridSpan w:val="6"/>
            <w:shd w:val="clear" w:color="auto" w:fill="auto"/>
            <w:vAlign w:val="center"/>
            <w:hideMark/>
          </w:tcPr>
          <w:p w14:paraId="48003A5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实际完成情况</w:t>
            </w:r>
          </w:p>
        </w:tc>
      </w:tr>
      <w:tr w:rsidR="00370624" w:rsidRPr="00370624" w14:paraId="4AD11978" w14:textId="77777777" w:rsidTr="006D09DA">
        <w:trPr>
          <w:trHeight w:val="540"/>
        </w:trPr>
        <w:tc>
          <w:tcPr>
            <w:tcW w:w="244" w:type="pct"/>
            <w:vMerge/>
            <w:vAlign w:val="center"/>
            <w:hideMark/>
          </w:tcPr>
          <w:p w14:paraId="7348C9F3" w14:textId="77777777" w:rsidR="00370624" w:rsidRPr="00370624" w:rsidRDefault="00370624" w:rsidP="00370624">
            <w:pPr>
              <w:widowControl/>
              <w:jc w:val="left"/>
              <w:rPr>
                <w:rFonts w:ascii="宋体" w:hAnsi="宋体" w:cs="宋体" w:hint="eastAsia"/>
                <w:color w:val="000000"/>
                <w:kern w:val="0"/>
                <w:sz w:val="20"/>
                <w:szCs w:val="20"/>
              </w:rPr>
            </w:pPr>
          </w:p>
        </w:tc>
        <w:tc>
          <w:tcPr>
            <w:tcW w:w="2644" w:type="pct"/>
            <w:gridSpan w:val="5"/>
            <w:shd w:val="clear" w:color="auto" w:fill="auto"/>
            <w:hideMark/>
          </w:tcPr>
          <w:p w14:paraId="4A78630B"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依据昌州财预【2021】76号文件要求，计划使用基层机构补助资金5万元，用于木垒县域内文化下乡演出各项经费支出，参加昌吉州新疆曲子汇演和各县观摩汇演经费支出，丰富群众业余生活，传承新疆曲子文化。</w:t>
            </w:r>
          </w:p>
        </w:tc>
        <w:tc>
          <w:tcPr>
            <w:tcW w:w="2112" w:type="pct"/>
            <w:gridSpan w:val="6"/>
            <w:shd w:val="clear" w:color="auto" w:fill="auto"/>
            <w:hideMark/>
          </w:tcPr>
          <w:p w14:paraId="077C68E7"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截至本项目自评之日，我单位已完成如下工作：依据昌州财预【2021】76号文件要求，已完成使用基层机构补助资金5万元，用于木垒县域内3次文化下乡演出各项经费支出，参加昌吉州新疆曲子汇演和各县观摩汇演2次的经费支出，丰富群众业余生活，传承新疆曲子文化。</w:t>
            </w:r>
          </w:p>
        </w:tc>
      </w:tr>
      <w:tr w:rsidR="00370624" w:rsidRPr="00370624" w14:paraId="75ACED44" w14:textId="77777777" w:rsidTr="006D09DA">
        <w:trPr>
          <w:trHeight w:val="312"/>
        </w:trPr>
        <w:tc>
          <w:tcPr>
            <w:tcW w:w="244" w:type="pct"/>
            <w:vMerge w:val="restart"/>
            <w:shd w:val="clear" w:color="auto" w:fill="auto"/>
            <w:vAlign w:val="center"/>
            <w:hideMark/>
          </w:tcPr>
          <w:p w14:paraId="52CAE9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D62781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一级指标</w:t>
            </w:r>
          </w:p>
        </w:tc>
        <w:tc>
          <w:tcPr>
            <w:tcW w:w="504" w:type="pct"/>
            <w:vMerge w:val="restart"/>
            <w:shd w:val="clear" w:color="auto" w:fill="auto"/>
            <w:vAlign w:val="center"/>
            <w:hideMark/>
          </w:tcPr>
          <w:p w14:paraId="55A4F2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340284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FA2E66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年度指标值</w:t>
            </w:r>
          </w:p>
        </w:tc>
        <w:tc>
          <w:tcPr>
            <w:tcW w:w="495" w:type="pct"/>
            <w:vMerge w:val="restart"/>
            <w:shd w:val="clear" w:color="auto" w:fill="auto"/>
            <w:vAlign w:val="center"/>
            <w:hideMark/>
          </w:tcPr>
          <w:p w14:paraId="076E534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实际完成值</w:t>
            </w:r>
          </w:p>
        </w:tc>
        <w:tc>
          <w:tcPr>
            <w:tcW w:w="562" w:type="pct"/>
            <w:vMerge w:val="restart"/>
            <w:shd w:val="clear" w:color="auto" w:fill="auto"/>
            <w:vAlign w:val="center"/>
            <w:hideMark/>
          </w:tcPr>
          <w:p w14:paraId="2E7D1A9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1072DAB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13E7F7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偏差原因分析及改进措施</w:t>
            </w:r>
          </w:p>
        </w:tc>
      </w:tr>
      <w:tr w:rsidR="00370624" w:rsidRPr="00370624" w14:paraId="72CB8530" w14:textId="77777777" w:rsidTr="006D09DA">
        <w:trPr>
          <w:trHeight w:val="312"/>
        </w:trPr>
        <w:tc>
          <w:tcPr>
            <w:tcW w:w="244" w:type="pct"/>
            <w:vMerge/>
            <w:vAlign w:val="center"/>
            <w:hideMark/>
          </w:tcPr>
          <w:p w14:paraId="06173F45"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44E2ED64"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vMerge/>
            <w:vAlign w:val="center"/>
            <w:hideMark/>
          </w:tcPr>
          <w:p w14:paraId="50B9FF6D" w14:textId="77777777" w:rsidR="00370624" w:rsidRPr="00370624" w:rsidRDefault="00370624" w:rsidP="00370624">
            <w:pPr>
              <w:widowControl/>
              <w:jc w:val="left"/>
              <w:rPr>
                <w:rFonts w:ascii="宋体" w:hAnsi="宋体" w:cs="宋体" w:hint="eastAsia"/>
                <w:color w:val="000000"/>
                <w:kern w:val="0"/>
                <w:sz w:val="20"/>
                <w:szCs w:val="20"/>
              </w:rPr>
            </w:pPr>
          </w:p>
        </w:tc>
        <w:tc>
          <w:tcPr>
            <w:tcW w:w="1418" w:type="pct"/>
            <w:gridSpan w:val="2"/>
            <w:vMerge/>
            <w:vAlign w:val="center"/>
            <w:hideMark/>
          </w:tcPr>
          <w:p w14:paraId="0A88DA3C" w14:textId="77777777" w:rsidR="00370624" w:rsidRPr="00370624" w:rsidRDefault="00370624" w:rsidP="00370624">
            <w:pPr>
              <w:widowControl/>
              <w:jc w:val="left"/>
              <w:rPr>
                <w:rFonts w:ascii="宋体" w:hAnsi="宋体" w:cs="宋体" w:hint="eastAsia"/>
                <w:color w:val="000000"/>
                <w:kern w:val="0"/>
                <w:sz w:val="20"/>
                <w:szCs w:val="20"/>
              </w:rPr>
            </w:pPr>
          </w:p>
        </w:tc>
        <w:tc>
          <w:tcPr>
            <w:tcW w:w="479" w:type="pct"/>
            <w:vMerge/>
            <w:vAlign w:val="center"/>
            <w:hideMark/>
          </w:tcPr>
          <w:p w14:paraId="3F28D6E9" w14:textId="77777777" w:rsidR="00370624" w:rsidRPr="00370624" w:rsidRDefault="00370624" w:rsidP="00370624">
            <w:pPr>
              <w:widowControl/>
              <w:jc w:val="left"/>
              <w:rPr>
                <w:rFonts w:ascii="宋体" w:hAnsi="宋体" w:cs="宋体" w:hint="eastAsia"/>
                <w:color w:val="000000"/>
                <w:kern w:val="0"/>
                <w:sz w:val="20"/>
                <w:szCs w:val="20"/>
              </w:rPr>
            </w:pPr>
          </w:p>
        </w:tc>
        <w:tc>
          <w:tcPr>
            <w:tcW w:w="495" w:type="pct"/>
            <w:vMerge/>
            <w:vAlign w:val="center"/>
            <w:hideMark/>
          </w:tcPr>
          <w:p w14:paraId="1CC97B71" w14:textId="77777777" w:rsidR="00370624" w:rsidRPr="00370624" w:rsidRDefault="00370624" w:rsidP="00370624">
            <w:pPr>
              <w:widowControl/>
              <w:jc w:val="left"/>
              <w:rPr>
                <w:rFonts w:ascii="宋体" w:hAnsi="宋体" w:cs="宋体" w:hint="eastAsia"/>
                <w:color w:val="000000"/>
                <w:kern w:val="0"/>
                <w:sz w:val="20"/>
                <w:szCs w:val="20"/>
              </w:rPr>
            </w:pPr>
          </w:p>
        </w:tc>
        <w:tc>
          <w:tcPr>
            <w:tcW w:w="562" w:type="pct"/>
            <w:vMerge/>
            <w:vAlign w:val="center"/>
            <w:hideMark/>
          </w:tcPr>
          <w:p w14:paraId="78916CDF" w14:textId="77777777" w:rsidR="00370624" w:rsidRPr="00370624" w:rsidRDefault="00370624" w:rsidP="00370624">
            <w:pPr>
              <w:widowControl/>
              <w:jc w:val="left"/>
              <w:rPr>
                <w:rFonts w:ascii="宋体" w:hAnsi="宋体" w:cs="宋体" w:hint="eastAsia"/>
                <w:color w:val="000000"/>
                <w:kern w:val="0"/>
                <w:sz w:val="20"/>
                <w:szCs w:val="20"/>
              </w:rPr>
            </w:pPr>
          </w:p>
        </w:tc>
        <w:tc>
          <w:tcPr>
            <w:tcW w:w="332" w:type="pct"/>
            <w:gridSpan w:val="2"/>
            <w:vMerge/>
            <w:vAlign w:val="center"/>
            <w:hideMark/>
          </w:tcPr>
          <w:p w14:paraId="7E0AAA82" w14:textId="77777777" w:rsidR="00370624" w:rsidRPr="00370624" w:rsidRDefault="00370624" w:rsidP="00370624">
            <w:pPr>
              <w:widowControl/>
              <w:jc w:val="left"/>
              <w:rPr>
                <w:rFonts w:ascii="宋体" w:hAnsi="宋体" w:cs="宋体" w:hint="eastAsia"/>
                <w:color w:val="000000"/>
                <w:kern w:val="0"/>
                <w:sz w:val="20"/>
                <w:szCs w:val="20"/>
              </w:rPr>
            </w:pPr>
          </w:p>
        </w:tc>
        <w:tc>
          <w:tcPr>
            <w:tcW w:w="723" w:type="pct"/>
            <w:gridSpan w:val="2"/>
            <w:vMerge/>
            <w:vAlign w:val="center"/>
            <w:hideMark/>
          </w:tcPr>
          <w:p w14:paraId="7A3C3509" w14:textId="77777777" w:rsidR="00370624" w:rsidRPr="00370624" w:rsidRDefault="00370624" w:rsidP="00370624">
            <w:pPr>
              <w:widowControl/>
              <w:jc w:val="left"/>
              <w:rPr>
                <w:rFonts w:ascii="宋体" w:hAnsi="宋体" w:cs="宋体" w:hint="eastAsia"/>
                <w:color w:val="000000"/>
                <w:kern w:val="0"/>
                <w:sz w:val="20"/>
                <w:szCs w:val="20"/>
              </w:rPr>
            </w:pPr>
          </w:p>
        </w:tc>
      </w:tr>
      <w:tr w:rsidR="00370624" w:rsidRPr="00370624" w14:paraId="2BE075FF" w14:textId="77777777" w:rsidTr="006D09DA">
        <w:trPr>
          <w:trHeight w:val="402"/>
        </w:trPr>
        <w:tc>
          <w:tcPr>
            <w:tcW w:w="244" w:type="pct"/>
            <w:vMerge w:val="restart"/>
            <w:shd w:val="clear" w:color="auto" w:fill="auto"/>
            <w:vAlign w:val="center"/>
            <w:hideMark/>
          </w:tcPr>
          <w:p w14:paraId="04C18A7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FE891E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产出指标</w:t>
            </w:r>
          </w:p>
        </w:tc>
        <w:tc>
          <w:tcPr>
            <w:tcW w:w="504" w:type="pct"/>
            <w:shd w:val="clear" w:color="auto" w:fill="auto"/>
            <w:vAlign w:val="center"/>
            <w:hideMark/>
          </w:tcPr>
          <w:p w14:paraId="6831182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3E77E7C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县域内送文化下乡演出</w:t>
            </w:r>
          </w:p>
        </w:tc>
        <w:tc>
          <w:tcPr>
            <w:tcW w:w="479" w:type="pct"/>
            <w:shd w:val="clear" w:color="auto" w:fill="auto"/>
            <w:vAlign w:val="center"/>
            <w:hideMark/>
          </w:tcPr>
          <w:p w14:paraId="1903C12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&gt;=3场</w:t>
            </w:r>
          </w:p>
        </w:tc>
        <w:tc>
          <w:tcPr>
            <w:tcW w:w="495" w:type="pct"/>
            <w:shd w:val="clear" w:color="auto" w:fill="auto"/>
            <w:vAlign w:val="center"/>
            <w:hideMark/>
          </w:tcPr>
          <w:p w14:paraId="40165C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=3场</w:t>
            </w:r>
          </w:p>
        </w:tc>
        <w:tc>
          <w:tcPr>
            <w:tcW w:w="562" w:type="pct"/>
            <w:shd w:val="clear" w:color="auto" w:fill="auto"/>
            <w:vAlign w:val="center"/>
            <w:hideMark/>
          </w:tcPr>
          <w:p w14:paraId="34E65D3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0493810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29C955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604B65B" w14:textId="77777777" w:rsidTr="006D09DA">
        <w:trPr>
          <w:trHeight w:val="402"/>
        </w:trPr>
        <w:tc>
          <w:tcPr>
            <w:tcW w:w="244" w:type="pct"/>
            <w:vMerge/>
            <w:vAlign w:val="center"/>
            <w:hideMark/>
          </w:tcPr>
          <w:p w14:paraId="5D1B8137"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339030F"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D37156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053C66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昌吉州汇演场次</w:t>
            </w:r>
          </w:p>
        </w:tc>
        <w:tc>
          <w:tcPr>
            <w:tcW w:w="479" w:type="pct"/>
            <w:shd w:val="clear" w:color="auto" w:fill="auto"/>
            <w:vAlign w:val="center"/>
            <w:hideMark/>
          </w:tcPr>
          <w:p w14:paraId="7947B1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&gt;=1场</w:t>
            </w:r>
          </w:p>
        </w:tc>
        <w:tc>
          <w:tcPr>
            <w:tcW w:w="495" w:type="pct"/>
            <w:shd w:val="clear" w:color="auto" w:fill="auto"/>
            <w:vAlign w:val="center"/>
            <w:hideMark/>
          </w:tcPr>
          <w:p w14:paraId="4E66FC8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=1场</w:t>
            </w:r>
          </w:p>
        </w:tc>
        <w:tc>
          <w:tcPr>
            <w:tcW w:w="562" w:type="pct"/>
            <w:shd w:val="clear" w:color="auto" w:fill="auto"/>
            <w:vAlign w:val="center"/>
            <w:hideMark/>
          </w:tcPr>
          <w:p w14:paraId="5FF3781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1A525C5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64ADAE4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15CF2E4A" w14:textId="77777777" w:rsidTr="006D09DA">
        <w:trPr>
          <w:trHeight w:val="402"/>
        </w:trPr>
        <w:tc>
          <w:tcPr>
            <w:tcW w:w="244" w:type="pct"/>
            <w:vMerge/>
            <w:vAlign w:val="center"/>
            <w:hideMark/>
          </w:tcPr>
          <w:p w14:paraId="2DD4C0F6"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5FB799A"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2B74F9C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419F82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各县观摩汇演场次</w:t>
            </w:r>
          </w:p>
        </w:tc>
        <w:tc>
          <w:tcPr>
            <w:tcW w:w="479" w:type="pct"/>
            <w:shd w:val="clear" w:color="auto" w:fill="auto"/>
            <w:vAlign w:val="center"/>
            <w:hideMark/>
          </w:tcPr>
          <w:p w14:paraId="1F70FE2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&gt;=2场</w:t>
            </w:r>
          </w:p>
        </w:tc>
        <w:tc>
          <w:tcPr>
            <w:tcW w:w="495" w:type="pct"/>
            <w:shd w:val="clear" w:color="auto" w:fill="auto"/>
            <w:vAlign w:val="center"/>
            <w:hideMark/>
          </w:tcPr>
          <w:p w14:paraId="4CD1DF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=2场</w:t>
            </w:r>
          </w:p>
        </w:tc>
        <w:tc>
          <w:tcPr>
            <w:tcW w:w="562" w:type="pct"/>
            <w:shd w:val="clear" w:color="auto" w:fill="auto"/>
            <w:vAlign w:val="center"/>
            <w:hideMark/>
          </w:tcPr>
          <w:p w14:paraId="2A829A1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6F5DC1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7ACFED4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75E5A30" w14:textId="77777777" w:rsidTr="006D09DA">
        <w:trPr>
          <w:trHeight w:val="402"/>
        </w:trPr>
        <w:tc>
          <w:tcPr>
            <w:tcW w:w="244" w:type="pct"/>
            <w:vMerge/>
            <w:vAlign w:val="center"/>
            <w:hideMark/>
          </w:tcPr>
          <w:p w14:paraId="482F90D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3D47EA4"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A0B410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4CCB8A01"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购置演出戏服数量</w:t>
            </w:r>
          </w:p>
        </w:tc>
        <w:tc>
          <w:tcPr>
            <w:tcW w:w="479" w:type="pct"/>
            <w:shd w:val="clear" w:color="auto" w:fill="auto"/>
            <w:vAlign w:val="center"/>
            <w:hideMark/>
          </w:tcPr>
          <w:p w14:paraId="377A32F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&gt;=15套</w:t>
            </w:r>
          </w:p>
        </w:tc>
        <w:tc>
          <w:tcPr>
            <w:tcW w:w="495" w:type="pct"/>
            <w:shd w:val="clear" w:color="auto" w:fill="auto"/>
            <w:vAlign w:val="center"/>
            <w:hideMark/>
          </w:tcPr>
          <w:p w14:paraId="6602D99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=15套</w:t>
            </w:r>
          </w:p>
        </w:tc>
        <w:tc>
          <w:tcPr>
            <w:tcW w:w="562" w:type="pct"/>
            <w:shd w:val="clear" w:color="auto" w:fill="auto"/>
            <w:vAlign w:val="center"/>
            <w:hideMark/>
          </w:tcPr>
          <w:p w14:paraId="1662733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59EAB40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1C0999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2437951" w14:textId="77777777" w:rsidTr="006D09DA">
        <w:trPr>
          <w:trHeight w:val="402"/>
        </w:trPr>
        <w:tc>
          <w:tcPr>
            <w:tcW w:w="244" w:type="pct"/>
            <w:vMerge/>
            <w:vAlign w:val="center"/>
            <w:hideMark/>
          </w:tcPr>
          <w:p w14:paraId="39B6C1E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33A5673"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01339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5C9ED28F"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演出举办成功率</w:t>
            </w:r>
          </w:p>
        </w:tc>
        <w:tc>
          <w:tcPr>
            <w:tcW w:w="479" w:type="pct"/>
            <w:shd w:val="clear" w:color="auto" w:fill="auto"/>
            <w:vAlign w:val="center"/>
            <w:hideMark/>
          </w:tcPr>
          <w:p w14:paraId="54008F8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&gt;=95%</w:t>
            </w:r>
          </w:p>
        </w:tc>
        <w:tc>
          <w:tcPr>
            <w:tcW w:w="495" w:type="pct"/>
            <w:shd w:val="clear" w:color="auto" w:fill="auto"/>
            <w:vAlign w:val="center"/>
            <w:hideMark/>
          </w:tcPr>
          <w:p w14:paraId="348F87E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=95%</w:t>
            </w:r>
          </w:p>
        </w:tc>
        <w:tc>
          <w:tcPr>
            <w:tcW w:w="562" w:type="pct"/>
            <w:shd w:val="clear" w:color="auto" w:fill="auto"/>
            <w:vAlign w:val="center"/>
            <w:hideMark/>
          </w:tcPr>
          <w:p w14:paraId="015EBD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2AA27E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6DA5D8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0AADAA2E" w14:textId="77777777" w:rsidTr="006D09DA">
        <w:trPr>
          <w:trHeight w:val="402"/>
        </w:trPr>
        <w:tc>
          <w:tcPr>
            <w:tcW w:w="244" w:type="pct"/>
            <w:vMerge/>
            <w:vAlign w:val="center"/>
            <w:hideMark/>
          </w:tcPr>
          <w:p w14:paraId="21921C74"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7D5A43B6"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AE498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7EB94D0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演出按时完成率</w:t>
            </w:r>
          </w:p>
        </w:tc>
        <w:tc>
          <w:tcPr>
            <w:tcW w:w="479" w:type="pct"/>
            <w:shd w:val="clear" w:color="auto" w:fill="auto"/>
            <w:vAlign w:val="center"/>
            <w:hideMark/>
          </w:tcPr>
          <w:p w14:paraId="25CC79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495" w:type="pct"/>
            <w:shd w:val="clear" w:color="auto" w:fill="auto"/>
            <w:vAlign w:val="center"/>
            <w:hideMark/>
          </w:tcPr>
          <w:p w14:paraId="304ED4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562" w:type="pct"/>
            <w:shd w:val="clear" w:color="auto" w:fill="auto"/>
            <w:vAlign w:val="center"/>
            <w:hideMark/>
          </w:tcPr>
          <w:p w14:paraId="5B4C6D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1E1D57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66B361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B799D55" w14:textId="77777777" w:rsidTr="006D09DA">
        <w:trPr>
          <w:trHeight w:val="402"/>
        </w:trPr>
        <w:tc>
          <w:tcPr>
            <w:tcW w:w="244" w:type="pct"/>
            <w:vMerge/>
            <w:vAlign w:val="center"/>
            <w:hideMark/>
          </w:tcPr>
          <w:p w14:paraId="43666BC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B4236B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成本指标</w:t>
            </w:r>
          </w:p>
        </w:tc>
        <w:tc>
          <w:tcPr>
            <w:tcW w:w="504" w:type="pct"/>
            <w:shd w:val="clear" w:color="auto" w:fill="auto"/>
            <w:vAlign w:val="center"/>
            <w:hideMark/>
          </w:tcPr>
          <w:p w14:paraId="463A00D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3A401E30"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活动支出</w:t>
            </w:r>
          </w:p>
        </w:tc>
        <w:tc>
          <w:tcPr>
            <w:tcW w:w="479" w:type="pct"/>
            <w:shd w:val="clear" w:color="auto" w:fill="auto"/>
            <w:vAlign w:val="center"/>
            <w:hideMark/>
          </w:tcPr>
          <w:p w14:paraId="48D2F3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&lt;=3.50万元</w:t>
            </w:r>
          </w:p>
        </w:tc>
        <w:tc>
          <w:tcPr>
            <w:tcW w:w="495" w:type="pct"/>
            <w:shd w:val="clear" w:color="auto" w:fill="auto"/>
            <w:vAlign w:val="center"/>
            <w:hideMark/>
          </w:tcPr>
          <w:p w14:paraId="5FD81E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=3.5万元</w:t>
            </w:r>
          </w:p>
        </w:tc>
        <w:tc>
          <w:tcPr>
            <w:tcW w:w="562" w:type="pct"/>
            <w:shd w:val="clear" w:color="auto" w:fill="auto"/>
            <w:vAlign w:val="center"/>
            <w:hideMark/>
          </w:tcPr>
          <w:p w14:paraId="01153B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268E204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578EF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59B7446C" w14:textId="77777777" w:rsidTr="006D09DA">
        <w:trPr>
          <w:trHeight w:val="402"/>
        </w:trPr>
        <w:tc>
          <w:tcPr>
            <w:tcW w:w="244" w:type="pct"/>
            <w:vMerge/>
            <w:vAlign w:val="center"/>
            <w:hideMark/>
          </w:tcPr>
          <w:p w14:paraId="0395C92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2452C000"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159C89E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31625A5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演出服购置费</w:t>
            </w:r>
          </w:p>
        </w:tc>
        <w:tc>
          <w:tcPr>
            <w:tcW w:w="479" w:type="pct"/>
            <w:shd w:val="clear" w:color="auto" w:fill="auto"/>
            <w:vAlign w:val="center"/>
            <w:hideMark/>
          </w:tcPr>
          <w:p w14:paraId="252FF6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=1.50万元</w:t>
            </w:r>
          </w:p>
        </w:tc>
        <w:tc>
          <w:tcPr>
            <w:tcW w:w="495" w:type="pct"/>
            <w:shd w:val="clear" w:color="auto" w:fill="auto"/>
            <w:vAlign w:val="center"/>
            <w:hideMark/>
          </w:tcPr>
          <w:p w14:paraId="3C2279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=1.5万元</w:t>
            </w:r>
          </w:p>
        </w:tc>
        <w:tc>
          <w:tcPr>
            <w:tcW w:w="562" w:type="pct"/>
            <w:shd w:val="clear" w:color="auto" w:fill="auto"/>
            <w:vAlign w:val="center"/>
            <w:hideMark/>
          </w:tcPr>
          <w:p w14:paraId="11A036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4A5C99F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5D8BDD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69D3FD8F" w14:textId="77777777" w:rsidTr="006D09DA">
        <w:trPr>
          <w:trHeight w:val="402"/>
        </w:trPr>
        <w:tc>
          <w:tcPr>
            <w:tcW w:w="244" w:type="pct"/>
            <w:vMerge/>
            <w:vAlign w:val="center"/>
            <w:hideMark/>
          </w:tcPr>
          <w:p w14:paraId="66C8B9B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D88F965"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4AD46AB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社会成本指标</w:t>
            </w:r>
          </w:p>
        </w:tc>
        <w:tc>
          <w:tcPr>
            <w:tcW w:w="1418" w:type="pct"/>
            <w:gridSpan w:val="2"/>
            <w:shd w:val="clear" w:color="auto" w:fill="auto"/>
            <w:noWrap/>
            <w:vAlign w:val="center"/>
            <w:hideMark/>
          </w:tcPr>
          <w:p w14:paraId="520EABD9"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17E374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0BFD30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0B46282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1D7F276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21850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8CAB92C" w14:textId="77777777" w:rsidTr="006D09DA">
        <w:trPr>
          <w:trHeight w:val="402"/>
        </w:trPr>
        <w:tc>
          <w:tcPr>
            <w:tcW w:w="244" w:type="pct"/>
            <w:vMerge/>
            <w:vAlign w:val="center"/>
            <w:hideMark/>
          </w:tcPr>
          <w:p w14:paraId="04B33B5B"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AF8D4D1"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709500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6B512C4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41CC86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7F4025C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5AF521E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92244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2B65AE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A493B93" w14:textId="77777777" w:rsidTr="006D09DA">
        <w:trPr>
          <w:trHeight w:val="402"/>
        </w:trPr>
        <w:tc>
          <w:tcPr>
            <w:tcW w:w="244" w:type="pct"/>
            <w:vMerge/>
            <w:vAlign w:val="center"/>
            <w:hideMark/>
          </w:tcPr>
          <w:p w14:paraId="042E91A0"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99559E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效益指标</w:t>
            </w:r>
          </w:p>
        </w:tc>
        <w:tc>
          <w:tcPr>
            <w:tcW w:w="504" w:type="pct"/>
            <w:shd w:val="clear" w:color="auto" w:fill="auto"/>
            <w:vAlign w:val="center"/>
            <w:hideMark/>
          </w:tcPr>
          <w:p w14:paraId="41A7B8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经济效益指标</w:t>
            </w:r>
          </w:p>
        </w:tc>
        <w:tc>
          <w:tcPr>
            <w:tcW w:w="1418" w:type="pct"/>
            <w:gridSpan w:val="2"/>
            <w:shd w:val="clear" w:color="auto" w:fill="auto"/>
            <w:noWrap/>
            <w:vAlign w:val="center"/>
            <w:hideMark/>
          </w:tcPr>
          <w:p w14:paraId="5A68A8C5"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7C1F7E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5F4FAA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0E3D93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6B52FF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A25E18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B46A9A3" w14:textId="77777777" w:rsidTr="006D09DA">
        <w:trPr>
          <w:trHeight w:val="402"/>
        </w:trPr>
        <w:tc>
          <w:tcPr>
            <w:tcW w:w="244" w:type="pct"/>
            <w:vMerge/>
            <w:vAlign w:val="center"/>
            <w:hideMark/>
          </w:tcPr>
          <w:p w14:paraId="767F603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F9A70A7"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2E06E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66F5D7D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提升新疆曲子文化传播度</w:t>
            </w:r>
          </w:p>
        </w:tc>
        <w:tc>
          <w:tcPr>
            <w:tcW w:w="479" w:type="pct"/>
            <w:shd w:val="clear" w:color="auto" w:fill="auto"/>
            <w:vAlign w:val="center"/>
            <w:hideMark/>
          </w:tcPr>
          <w:p w14:paraId="00675E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495" w:type="pct"/>
            <w:shd w:val="clear" w:color="auto" w:fill="auto"/>
            <w:vAlign w:val="center"/>
            <w:hideMark/>
          </w:tcPr>
          <w:p w14:paraId="18ACC1A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562" w:type="pct"/>
            <w:shd w:val="clear" w:color="auto" w:fill="auto"/>
            <w:vAlign w:val="center"/>
            <w:hideMark/>
          </w:tcPr>
          <w:p w14:paraId="368EF6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332" w:type="pct"/>
            <w:gridSpan w:val="2"/>
            <w:shd w:val="clear" w:color="auto" w:fill="auto"/>
            <w:vAlign w:val="center"/>
            <w:hideMark/>
          </w:tcPr>
          <w:p w14:paraId="2596166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723" w:type="pct"/>
            <w:gridSpan w:val="2"/>
            <w:shd w:val="clear" w:color="auto" w:fill="auto"/>
            <w:vAlign w:val="center"/>
            <w:hideMark/>
          </w:tcPr>
          <w:p w14:paraId="09E5ADB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A2477BA" w14:textId="77777777" w:rsidTr="006D09DA">
        <w:trPr>
          <w:trHeight w:val="402"/>
        </w:trPr>
        <w:tc>
          <w:tcPr>
            <w:tcW w:w="244" w:type="pct"/>
            <w:vMerge/>
            <w:vAlign w:val="center"/>
            <w:hideMark/>
          </w:tcPr>
          <w:p w14:paraId="70E6AFB9"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CF0406B"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7E43E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5A41C1A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7B00B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27A6A4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3F04D48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375AF8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803857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DDA6CB3" w14:textId="77777777" w:rsidTr="006D09DA">
        <w:trPr>
          <w:trHeight w:val="402"/>
        </w:trPr>
        <w:tc>
          <w:tcPr>
            <w:tcW w:w="244" w:type="pct"/>
            <w:vMerge/>
            <w:vAlign w:val="center"/>
            <w:hideMark/>
          </w:tcPr>
          <w:p w14:paraId="641215AD"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4D678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504" w:type="pct"/>
            <w:shd w:val="clear" w:color="auto" w:fill="auto"/>
            <w:vAlign w:val="center"/>
            <w:hideMark/>
          </w:tcPr>
          <w:p w14:paraId="52D87FA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56A58D92"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观众满意度</w:t>
            </w:r>
          </w:p>
        </w:tc>
        <w:tc>
          <w:tcPr>
            <w:tcW w:w="479" w:type="pct"/>
            <w:shd w:val="clear" w:color="auto" w:fill="auto"/>
            <w:vAlign w:val="center"/>
            <w:hideMark/>
          </w:tcPr>
          <w:p w14:paraId="2834EF7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&gt;=90%</w:t>
            </w:r>
          </w:p>
        </w:tc>
        <w:tc>
          <w:tcPr>
            <w:tcW w:w="495" w:type="pct"/>
            <w:shd w:val="clear" w:color="auto" w:fill="auto"/>
            <w:vAlign w:val="center"/>
            <w:hideMark/>
          </w:tcPr>
          <w:p w14:paraId="11D3380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=90%</w:t>
            </w:r>
          </w:p>
        </w:tc>
        <w:tc>
          <w:tcPr>
            <w:tcW w:w="562" w:type="pct"/>
            <w:shd w:val="clear" w:color="auto" w:fill="auto"/>
            <w:vAlign w:val="center"/>
            <w:hideMark/>
          </w:tcPr>
          <w:p w14:paraId="6F19BDF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499A4B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F3D4D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4B121EA" w14:textId="77777777" w:rsidTr="006D09DA">
        <w:trPr>
          <w:trHeight w:val="270"/>
        </w:trPr>
        <w:tc>
          <w:tcPr>
            <w:tcW w:w="3383" w:type="pct"/>
            <w:gridSpan w:val="7"/>
            <w:shd w:val="clear" w:color="auto" w:fill="auto"/>
            <w:vAlign w:val="center"/>
            <w:hideMark/>
          </w:tcPr>
          <w:p w14:paraId="2F88C9F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总分</w:t>
            </w:r>
          </w:p>
        </w:tc>
        <w:tc>
          <w:tcPr>
            <w:tcW w:w="562" w:type="pct"/>
            <w:shd w:val="clear" w:color="auto" w:fill="auto"/>
            <w:vAlign w:val="center"/>
            <w:hideMark/>
          </w:tcPr>
          <w:p w14:paraId="2DBA139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332" w:type="pct"/>
            <w:gridSpan w:val="2"/>
            <w:shd w:val="clear" w:color="auto" w:fill="auto"/>
            <w:vAlign w:val="center"/>
            <w:hideMark/>
          </w:tcPr>
          <w:p w14:paraId="568EDE3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100分</w:t>
            </w:r>
          </w:p>
        </w:tc>
        <w:tc>
          <w:tcPr>
            <w:tcW w:w="723" w:type="pct"/>
            <w:gridSpan w:val="2"/>
            <w:shd w:val="clear" w:color="auto" w:fill="auto"/>
            <w:vAlign w:val="center"/>
            <w:hideMark/>
          </w:tcPr>
          <w:p w14:paraId="41F0246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bl>
    <w:p w14:paraId="0A6EE514" w14:textId="77777777" w:rsidR="00370624" w:rsidRDefault="00370624">
      <w:pPr>
        <w:ind w:firstLineChars="200" w:firstLine="640"/>
        <w:jc w:val="left"/>
        <w:rPr>
          <w:rFonts w:ascii="黑体" w:eastAsia="黑体" w:hAnsi="黑体" w:cs="宋体" w:hint="eastAsia"/>
          <w:bCs/>
          <w:kern w:val="0"/>
          <w:sz w:val="32"/>
          <w:szCs w:val="32"/>
        </w:rPr>
      </w:pPr>
    </w:p>
    <w:p w14:paraId="5B56E64A" w14:textId="77777777" w:rsidR="00757E34" w:rsidRDefault="000B28D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FCD7D4D" w14:textId="77777777" w:rsidR="00757E34" w:rsidRDefault="000B28D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70624">
        <w:rPr>
          <w:rFonts w:ascii="仿宋_GB2312" w:eastAsia="仿宋_GB2312" w:hAnsi="仿宋_GB2312" w:cs="仿宋_GB2312" w:hint="eastAsia"/>
          <w:kern w:val="0"/>
          <w:sz w:val="32"/>
          <w:szCs w:val="32"/>
        </w:rPr>
        <w:t>。</w:t>
      </w:r>
    </w:p>
    <w:p w14:paraId="794CB355" w14:textId="77777777" w:rsidR="00757E34" w:rsidRDefault="000B28D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E88C535"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0024983"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CAF67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F5DFED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0615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87E82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86C0681"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424029"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A40857"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E0A1DC"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EAE64DE"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3605A82"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7D2077"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535D28" w14:textId="77777777" w:rsidR="00757E34" w:rsidRDefault="000B28D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A299EE7" w14:textId="77777777" w:rsidR="00757E34" w:rsidRDefault="000B28D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9C1AF73" w14:textId="77777777" w:rsidR="00757E34" w:rsidRDefault="000B28D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674BD13" w14:textId="77777777" w:rsidR="00757E34" w:rsidRDefault="000B28D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78643C4" w14:textId="77777777" w:rsidR="00757E34" w:rsidRDefault="000B28D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E28315" w14:textId="77777777" w:rsidR="00757E34" w:rsidRDefault="000B28D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CB7E0A" w14:textId="77777777" w:rsidR="00757E34" w:rsidRDefault="000B28D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AF356D" w14:textId="77777777" w:rsidR="00757E34" w:rsidRDefault="000B28D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1A170BD"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96EC9D7" w14:textId="77777777" w:rsidR="00757E34" w:rsidRDefault="000B28D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A422C5F"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AD2E99" w14:textId="77777777" w:rsidR="00757E34" w:rsidRDefault="00757E34">
      <w:pPr>
        <w:ind w:firstLineChars="200" w:firstLine="640"/>
        <w:rPr>
          <w:rFonts w:ascii="仿宋_GB2312" w:eastAsia="仿宋_GB2312"/>
          <w:sz w:val="32"/>
          <w:szCs w:val="32"/>
        </w:rPr>
      </w:pPr>
    </w:p>
    <w:p w14:paraId="09E1879D" w14:textId="77777777" w:rsidR="00757E34" w:rsidRDefault="00757E34">
      <w:pPr>
        <w:ind w:firstLineChars="200" w:firstLine="640"/>
        <w:outlineLvl w:val="1"/>
        <w:rPr>
          <w:rFonts w:ascii="黑体" w:eastAsia="黑体" w:hAnsi="黑体" w:cs="宋体" w:hint="eastAsia"/>
          <w:bCs/>
          <w:kern w:val="0"/>
          <w:sz w:val="32"/>
          <w:szCs w:val="32"/>
        </w:rPr>
      </w:pPr>
    </w:p>
    <w:sectPr w:rsidR="00757E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4AFF7" w14:textId="77777777" w:rsidR="00F76450" w:rsidRDefault="00F76450">
      <w:r>
        <w:separator/>
      </w:r>
    </w:p>
  </w:endnote>
  <w:endnote w:type="continuationSeparator" w:id="0">
    <w:p w14:paraId="0BF1C51D" w14:textId="77777777" w:rsidR="00F76450" w:rsidRDefault="00F7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30B7D" w14:textId="77777777" w:rsidR="00C63FE3" w:rsidRDefault="00C63FE3">
    <w:pPr>
      <w:pStyle w:val="a4"/>
    </w:pPr>
    <w:r>
      <w:rPr>
        <w:noProof/>
      </w:rPr>
      <mc:AlternateContent>
        <mc:Choice Requires="wps">
          <w:drawing>
            <wp:anchor distT="0" distB="0" distL="114300" distR="114300" simplePos="0" relativeHeight="251659264" behindDoc="0" locked="0" layoutInCell="1" allowOverlap="1" wp14:anchorId="73A47B47" wp14:editId="081A39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A47B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C1BAC" w14:textId="77777777" w:rsidR="00F76450" w:rsidRDefault="00F76450">
      <w:r>
        <w:separator/>
      </w:r>
    </w:p>
  </w:footnote>
  <w:footnote w:type="continuationSeparator" w:id="0">
    <w:p w14:paraId="3145739B" w14:textId="77777777" w:rsidR="00F76450" w:rsidRDefault="00F7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87850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57E34"/>
    <w:rsid w:val="0000694D"/>
    <w:rsid w:val="0001705D"/>
    <w:rsid w:val="000B28DB"/>
    <w:rsid w:val="00213C59"/>
    <w:rsid w:val="003210CE"/>
    <w:rsid w:val="00370624"/>
    <w:rsid w:val="003D1BFA"/>
    <w:rsid w:val="00491198"/>
    <w:rsid w:val="004D5756"/>
    <w:rsid w:val="005730E9"/>
    <w:rsid w:val="006D09DA"/>
    <w:rsid w:val="00757E34"/>
    <w:rsid w:val="009020D1"/>
    <w:rsid w:val="00B36179"/>
    <w:rsid w:val="00B70D59"/>
    <w:rsid w:val="00C63FE3"/>
    <w:rsid w:val="00D156FC"/>
    <w:rsid w:val="00D92680"/>
    <w:rsid w:val="00DA2D64"/>
    <w:rsid w:val="00DF49EE"/>
    <w:rsid w:val="00F14C01"/>
    <w:rsid w:val="00F52A8D"/>
    <w:rsid w:val="00F76450"/>
    <w:rsid w:val="00FB3F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146BF"/>
  <w15:docId w15:val="{EDB36024-990D-4ECA-BA98-AE875F18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13856">
      <w:bodyDiv w:val="1"/>
      <w:marLeft w:val="0"/>
      <w:marRight w:val="0"/>
      <w:marTop w:val="0"/>
      <w:marBottom w:val="0"/>
      <w:divBdr>
        <w:top w:val="none" w:sz="0" w:space="0" w:color="auto"/>
        <w:left w:val="none" w:sz="0" w:space="0" w:color="auto"/>
        <w:bottom w:val="none" w:sz="0" w:space="0" w:color="auto"/>
        <w:right w:val="none" w:sz="0" w:space="0" w:color="auto"/>
      </w:divBdr>
    </w:div>
    <w:div w:id="130751480">
      <w:bodyDiv w:val="1"/>
      <w:marLeft w:val="0"/>
      <w:marRight w:val="0"/>
      <w:marTop w:val="0"/>
      <w:marBottom w:val="0"/>
      <w:divBdr>
        <w:top w:val="none" w:sz="0" w:space="0" w:color="auto"/>
        <w:left w:val="none" w:sz="0" w:space="0" w:color="auto"/>
        <w:bottom w:val="none" w:sz="0" w:space="0" w:color="auto"/>
        <w:right w:val="none" w:sz="0" w:space="0" w:color="auto"/>
      </w:divBdr>
    </w:div>
    <w:div w:id="1905725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1416</Words>
  <Characters>8074</Characters>
  <Application>Microsoft Office Word</Application>
  <DocSecurity>0</DocSecurity>
  <Lines>67</Lines>
  <Paragraphs>18</Paragraphs>
  <ScaleCrop>false</ScaleCrop>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2024-09-02T10:16:00Z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